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E8" w:rsidRPr="00DE5B12" w:rsidRDefault="00053AE8" w:rsidP="00053AE8">
      <w:pPr>
        <w:spacing w:line="240" w:lineRule="auto"/>
        <w:rPr>
          <w:sz w:val="2"/>
        </w:rPr>
        <w:sectPr w:rsidR="00053AE8" w:rsidRPr="00DE5B12" w:rsidSect="00B0543A">
          <w:headerReference w:type="even" r:id="rId7"/>
          <w:headerReference w:type="default" r:id="rId8"/>
          <w:footerReference w:type="even" r:id="rId9"/>
          <w:footerReference w:type="default" r:id="rId10"/>
          <w:headerReference w:type="first" r:id="rId11"/>
          <w:footerReference w:type="first" r:id="rId12"/>
          <w:endnotePr>
            <w:numFmt w:val="decimal"/>
          </w:endnotePr>
          <w:pgSz w:w="11909" w:h="16834"/>
          <w:pgMar w:top="263" w:right="1032" w:bottom="1757" w:left="1032" w:header="142" w:footer="504" w:gutter="0"/>
          <w:cols w:space="720"/>
          <w:titlePg/>
          <w:docGrid w:linePitch="360"/>
        </w:sectPr>
      </w:pPr>
    </w:p>
    <w:p w:rsidR="00B0543A" w:rsidRPr="00B0543A" w:rsidRDefault="00B0543A" w:rsidP="00B0543A">
      <w:pPr>
        <w:widowControl w:val="0"/>
        <w:suppressAutoHyphens w:val="0"/>
        <w:autoSpaceDE w:val="0"/>
        <w:autoSpaceDN w:val="0"/>
        <w:spacing w:line="232" w:lineRule="auto"/>
        <w:ind w:left="220" w:right="6426"/>
        <w:outlineLvl w:val="0"/>
        <w:rPr>
          <w:rFonts w:eastAsia="Times New Roman"/>
          <w:b/>
          <w:bCs/>
          <w:spacing w:val="0"/>
          <w:w w:val="100"/>
          <w:kern w:val="0"/>
          <w:sz w:val="24"/>
          <w:szCs w:val="24"/>
          <w:lang w:val="tr-TR" w:bidi="en-US"/>
        </w:rPr>
      </w:pPr>
      <w:r w:rsidRPr="00B0543A">
        <w:rPr>
          <w:rFonts w:eastAsia="Times New Roman"/>
          <w:b/>
          <w:bCs/>
          <w:spacing w:val="0"/>
          <w:w w:val="100"/>
          <w:kern w:val="0"/>
          <w:sz w:val="24"/>
          <w:szCs w:val="24"/>
          <w:lang w:val="tr-TR" w:bidi="en-US"/>
        </w:rPr>
        <w:lastRenderedPageBreak/>
        <w:t xml:space="preserve">Suçun Önlenmesi ve </w:t>
      </w:r>
      <w:r w:rsidRPr="00B0543A">
        <w:rPr>
          <w:rFonts w:eastAsia="Times New Roman"/>
          <w:b/>
          <w:bCs/>
          <w:spacing w:val="0"/>
          <w:w w:val="100"/>
          <w:kern w:val="0"/>
          <w:sz w:val="24"/>
          <w:szCs w:val="24"/>
          <w:lang w:val="tr-TR" w:bidi="en-US"/>
        </w:rPr>
        <w:br/>
        <w:t>Ceza Adaleti Komisyonu</w:t>
      </w:r>
    </w:p>
    <w:p w:rsidR="00B0543A" w:rsidRPr="00B0543A" w:rsidRDefault="00B0543A" w:rsidP="00B0543A">
      <w:pPr>
        <w:widowControl w:val="0"/>
        <w:suppressAutoHyphens w:val="0"/>
        <w:autoSpaceDE w:val="0"/>
        <w:autoSpaceDN w:val="0"/>
        <w:spacing w:before="11" w:line="247" w:lineRule="auto"/>
        <w:ind w:left="220" w:right="7010"/>
        <w:rPr>
          <w:rFonts w:eastAsia="Times New Roman"/>
          <w:spacing w:val="0"/>
          <w:w w:val="100"/>
          <w:kern w:val="0"/>
          <w:sz w:val="24"/>
          <w:szCs w:val="24"/>
          <w:lang w:val="tr-TR" w:bidi="en-US"/>
        </w:rPr>
      </w:pPr>
      <w:r w:rsidRPr="00B0543A">
        <w:rPr>
          <w:rFonts w:eastAsia="Times New Roman"/>
          <w:b/>
          <w:spacing w:val="0"/>
          <w:w w:val="100"/>
          <w:kern w:val="0"/>
          <w:sz w:val="24"/>
          <w:szCs w:val="24"/>
          <w:lang w:val="tr-TR" w:bidi="en-US"/>
        </w:rPr>
        <w:t xml:space="preserve">Yirmi sekizinci oturum </w:t>
      </w:r>
      <w:r w:rsidRPr="00B0543A">
        <w:rPr>
          <w:rFonts w:eastAsia="Times New Roman"/>
          <w:b/>
          <w:spacing w:val="0"/>
          <w:w w:val="100"/>
          <w:kern w:val="0"/>
          <w:sz w:val="24"/>
          <w:szCs w:val="24"/>
          <w:lang w:val="tr-TR" w:bidi="en-US"/>
        </w:rPr>
        <w:br/>
      </w:r>
      <w:r>
        <w:rPr>
          <w:rFonts w:eastAsia="Times New Roman"/>
          <w:spacing w:val="0"/>
          <w:w w:val="100"/>
          <w:kern w:val="0"/>
          <w:sz w:val="24"/>
          <w:szCs w:val="24"/>
          <w:lang w:val="tr-TR" w:bidi="en-US"/>
        </w:rPr>
        <w:t xml:space="preserve">Viyana, 20–24 Mayıs </w:t>
      </w:r>
      <w:r w:rsidRPr="00B0543A">
        <w:rPr>
          <w:rFonts w:eastAsia="Times New Roman"/>
          <w:spacing w:val="0"/>
          <w:w w:val="100"/>
          <w:kern w:val="0"/>
          <w:sz w:val="24"/>
          <w:szCs w:val="24"/>
          <w:lang w:val="tr-TR" w:bidi="en-US"/>
        </w:rPr>
        <w:t>2019</w:t>
      </w:r>
      <w:r w:rsidRPr="00B0543A">
        <w:rPr>
          <w:rFonts w:eastAsia="Times New Roman"/>
          <w:spacing w:val="0"/>
          <w:w w:val="100"/>
          <w:kern w:val="0"/>
          <w:sz w:val="24"/>
          <w:szCs w:val="24"/>
          <w:lang w:val="tr-TR" w:bidi="en-US"/>
        </w:rPr>
        <w:br/>
        <w:t>Gündem Maddesi 6 (d)</w:t>
      </w:r>
    </w:p>
    <w:p w:rsidR="00B0543A" w:rsidRPr="00B0543A" w:rsidRDefault="00B0543A" w:rsidP="00B0543A">
      <w:pPr>
        <w:widowControl w:val="0"/>
        <w:suppressAutoHyphens w:val="0"/>
        <w:autoSpaceDE w:val="0"/>
        <w:autoSpaceDN w:val="0"/>
        <w:spacing w:before="7" w:line="240" w:lineRule="auto"/>
        <w:ind w:left="220"/>
        <w:outlineLvl w:val="1"/>
        <w:rPr>
          <w:rFonts w:eastAsia="Times New Roman"/>
          <w:b/>
          <w:bCs/>
          <w:spacing w:val="0"/>
          <w:w w:val="100"/>
          <w:kern w:val="0"/>
          <w:sz w:val="24"/>
          <w:szCs w:val="24"/>
          <w:lang w:val="tr-TR" w:bidi="en-US"/>
        </w:rPr>
      </w:pPr>
      <w:r w:rsidRPr="00B0543A">
        <w:rPr>
          <w:rFonts w:eastAsia="Times New Roman"/>
          <w:b/>
          <w:bCs/>
          <w:spacing w:val="0"/>
          <w:w w:val="100"/>
          <w:kern w:val="0"/>
          <w:sz w:val="24"/>
          <w:szCs w:val="24"/>
          <w:lang w:val="tr-TR" w:bidi="en-US"/>
        </w:rPr>
        <w:t>Suçun önlenmesi ve ceza adaleti konusunda</w:t>
      </w:r>
    </w:p>
    <w:p w:rsidR="00B0543A" w:rsidRPr="00B0543A" w:rsidRDefault="00B0543A" w:rsidP="00B0543A">
      <w:pPr>
        <w:widowControl w:val="0"/>
        <w:tabs>
          <w:tab w:val="left" w:pos="2977"/>
        </w:tabs>
        <w:suppressAutoHyphens w:val="0"/>
        <w:autoSpaceDE w:val="0"/>
        <w:autoSpaceDN w:val="0"/>
        <w:spacing w:before="8" w:line="249" w:lineRule="auto"/>
        <w:ind w:left="220" w:right="5300"/>
        <w:rPr>
          <w:rFonts w:eastAsia="Times New Roman"/>
          <w:b/>
          <w:spacing w:val="0"/>
          <w:w w:val="100"/>
          <w:kern w:val="0"/>
          <w:sz w:val="24"/>
          <w:szCs w:val="24"/>
          <w:lang w:val="tr-TR" w:bidi="en-US"/>
        </w:rPr>
      </w:pPr>
      <w:r w:rsidRPr="00B0543A">
        <w:rPr>
          <w:rFonts w:eastAsia="Times New Roman"/>
          <w:b/>
          <w:spacing w:val="0"/>
          <w:w w:val="100"/>
          <w:kern w:val="0"/>
          <w:sz w:val="24"/>
          <w:szCs w:val="24"/>
          <w:lang w:val="tr-TR" w:bidi="en-US"/>
        </w:rPr>
        <w:t>Birleşmiş Milletler Uyuşturucu ve Suç Ofisi ile üye devletlerin çabalarının entegrasyonu ve koordinasyonu: suçu önleme ve ceza adaletine ilişkin diğer hususlar</w:t>
      </w:r>
    </w:p>
    <w:p w:rsidR="00B0543A" w:rsidRPr="00B0543A" w:rsidRDefault="00B0543A" w:rsidP="00B0543A">
      <w:pPr>
        <w:widowControl w:val="0"/>
        <w:suppressAutoHyphens w:val="0"/>
        <w:autoSpaceDE w:val="0"/>
        <w:autoSpaceDN w:val="0"/>
        <w:spacing w:before="4" w:line="240" w:lineRule="auto"/>
        <w:rPr>
          <w:rFonts w:eastAsia="Times New Roman"/>
          <w:b/>
          <w:spacing w:val="0"/>
          <w:w w:val="100"/>
          <w:kern w:val="0"/>
          <w:sz w:val="24"/>
          <w:szCs w:val="24"/>
          <w:lang w:val="tr-TR" w:bidi="en-US"/>
        </w:rPr>
      </w:pPr>
    </w:p>
    <w:p w:rsidR="00B0543A" w:rsidRPr="00B0543A" w:rsidRDefault="00B0543A" w:rsidP="00B0543A">
      <w:pPr>
        <w:widowControl w:val="0"/>
        <w:suppressAutoHyphens w:val="0"/>
        <w:autoSpaceDE w:val="0"/>
        <w:autoSpaceDN w:val="0"/>
        <w:spacing w:before="1" w:line="240" w:lineRule="auto"/>
        <w:ind w:left="993" w:right="764"/>
        <w:rPr>
          <w:rFonts w:eastAsia="Times New Roman"/>
          <w:b/>
          <w:spacing w:val="0"/>
          <w:w w:val="100"/>
          <w:kern w:val="0"/>
          <w:sz w:val="24"/>
          <w:szCs w:val="24"/>
          <w:lang w:val="tr-TR" w:bidi="en-US"/>
        </w:rPr>
      </w:pPr>
      <w:r w:rsidRPr="00B0543A">
        <w:rPr>
          <w:rFonts w:eastAsia="Times New Roman"/>
          <w:b/>
          <w:spacing w:val="0"/>
          <w:w w:val="100"/>
          <w:kern w:val="0"/>
          <w:sz w:val="24"/>
          <w:szCs w:val="24"/>
          <w:u w:val="single"/>
          <w:lang w:val="tr-TR" w:bidi="en-US"/>
        </w:rPr>
        <w:t>Türkiye:</w:t>
      </w:r>
      <w:r w:rsidRPr="00B0543A">
        <w:rPr>
          <w:rFonts w:eastAsia="Times New Roman"/>
          <w:b/>
          <w:spacing w:val="0"/>
          <w:w w:val="100"/>
          <w:kern w:val="0"/>
          <w:sz w:val="24"/>
          <w:szCs w:val="24"/>
          <w:lang w:val="tr-TR" w:bidi="en-US"/>
        </w:rPr>
        <w:t xml:space="preserve"> gözden geçirilmiş karar taslağı</w:t>
      </w:r>
    </w:p>
    <w:p w:rsidR="00B0543A" w:rsidRPr="00B0543A" w:rsidRDefault="00B0543A" w:rsidP="00B0543A">
      <w:pPr>
        <w:widowControl w:val="0"/>
        <w:suppressAutoHyphens w:val="0"/>
        <w:autoSpaceDE w:val="0"/>
        <w:autoSpaceDN w:val="0"/>
        <w:spacing w:before="1" w:line="240" w:lineRule="auto"/>
        <w:ind w:left="993" w:right="764"/>
        <w:rPr>
          <w:rFonts w:eastAsia="Times New Roman"/>
          <w:b/>
          <w:spacing w:val="0"/>
          <w:w w:val="100"/>
          <w:kern w:val="0"/>
          <w:sz w:val="24"/>
          <w:szCs w:val="24"/>
          <w:lang w:val="tr-TR" w:bidi="en-US"/>
        </w:rPr>
      </w:pPr>
    </w:p>
    <w:p w:rsidR="00B0543A" w:rsidRPr="00B0543A" w:rsidRDefault="00B0543A" w:rsidP="00B0543A">
      <w:pPr>
        <w:widowControl w:val="0"/>
        <w:suppressAutoHyphens w:val="0"/>
        <w:autoSpaceDE w:val="0"/>
        <w:autoSpaceDN w:val="0"/>
        <w:spacing w:line="249" w:lineRule="auto"/>
        <w:ind w:left="993" w:right="764" w:firstLine="403"/>
        <w:jc w:val="both"/>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Suçun Önlenmesi ve Ceza Adaleti Komisyonu, Ekonomik ve Sosyal Konsey'e aşağıda yer alan karar taslağının kabul edilmesini tavsiye eder:</w:t>
      </w:r>
    </w:p>
    <w:p w:rsidR="00B0543A" w:rsidRPr="00B0543A" w:rsidRDefault="00B0543A" w:rsidP="00B0543A">
      <w:pPr>
        <w:widowControl w:val="0"/>
        <w:suppressAutoHyphens w:val="0"/>
        <w:autoSpaceDE w:val="0"/>
        <w:autoSpaceDN w:val="0"/>
        <w:spacing w:before="8" w:line="240" w:lineRule="auto"/>
        <w:ind w:left="993" w:right="764"/>
        <w:rPr>
          <w:rFonts w:eastAsia="Times New Roman"/>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outlineLvl w:val="0"/>
        <w:rPr>
          <w:rFonts w:eastAsia="Times New Roman"/>
          <w:b/>
          <w:bCs/>
          <w:spacing w:val="0"/>
          <w:w w:val="100"/>
          <w:kern w:val="0"/>
          <w:sz w:val="28"/>
          <w:szCs w:val="24"/>
          <w:lang w:val="tr-TR" w:bidi="en-US"/>
        </w:rPr>
      </w:pPr>
      <w:r w:rsidRPr="00B0543A">
        <w:rPr>
          <w:rFonts w:eastAsia="Times New Roman"/>
          <w:b/>
          <w:bCs/>
          <w:spacing w:val="0"/>
          <w:w w:val="100"/>
          <w:kern w:val="0"/>
          <w:sz w:val="28"/>
          <w:szCs w:val="24"/>
          <w:lang w:val="tr-TR" w:bidi="en-US"/>
        </w:rPr>
        <w:t>Yargı sürecinde şeffaflığın güçlendirilmesi</w:t>
      </w:r>
    </w:p>
    <w:p w:rsidR="00B0543A" w:rsidRPr="00B0543A" w:rsidRDefault="00B0543A" w:rsidP="00B0543A">
      <w:pPr>
        <w:widowControl w:val="0"/>
        <w:suppressAutoHyphens w:val="0"/>
        <w:autoSpaceDE w:val="0"/>
        <w:autoSpaceDN w:val="0"/>
        <w:spacing w:line="240" w:lineRule="auto"/>
        <w:ind w:left="993" w:right="764"/>
        <w:outlineLvl w:val="0"/>
        <w:rPr>
          <w:rFonts w:eastAsia="Times New Roman"/>
          <w:b/>
          <w:bCs/>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outlineLvl w:val="0"/>
        <w:rPr>
          <w:rFonts w:eastAsia="Times New Roman"/>
          <w:b/>
          <w:bCs/>
          <w:spacing w:val="0"/>
          <w:w w:val="100"/>
          <w:kern w:val="0"/>
          <w:sz w:val="24"/>
          <w:szCs w:val="24"/>
          <w:lang w:val="tr-TR" w:bidi="en-US"/>
        </w:rPr>
      </w:pPr>
      <w:r w:rsidRPr="00B0543A">
        <w:rPr>
          <w:rFonts w:eastAsia="Times New Roman"/>
          <w:b/>
          <w:bCs/>
          <w:i/>
          <w:spacing w:val="0"/>
          <w:w w:val="100"/>
          <w:kern w:val="0"/>
          <w:sz w:val="24"/>
          <w:szCs w:val="24"/>
          <w:lang w:val="tr-TR" w:bidi="en-US"/>
        </w:rPr>
        <w:t>Ekonomik ve Sosyal Konsey</w:t>
      </w:r>
      <w:r w:rsidRPr="00B0543A">
        <w:rPr>
          <w:rFonts w:eastAsia="Times New Roman"/>
          <w:b/>
          <w:bCs/>
          <w:spacing w:val="0"/>
          <w:w w:val="100"/>
          <w:kern w:val="0"/>
          <w:sz w:val="24"/>
          <w:szCs w:val="24"/>
          <w:lang w:val="tr-TR" w:bidi="en-US"/>
        </w:rPr>
        <w:t>,</w:t>
      </w:r>
    </w:p>
    <w:p w:rsidR="00B0543A" w:rsidRPr="00B0543A" w:rsidRDefault="00B0543A" w:rsidP="00B0543A">
      <w:pPr>
        <w:widowControl w:val="0"/>
        <w:suppressAutoHyphens w:val="0"/>
        <w:autoSpaceDE w:val="0"/>
        <w:autoSpaceDN w:val="0"/>
        <w:spacing w:line="240" w:lineRule="auto"/>
        <w:ind w:left="993" w:right="764"/>
        <w:outlineLvl w:val="0"/>
        <w:rPr>
          <w:rFonts w:eastAsia="Times New Roman"/>
          <w:b/>
          <w:bCs/>
          <w:spacing w:val="3"/>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Üye Devletleri kendi temel hukuk sistemleri doğrultusunda ve yargı bağımsızlığına halel getirmeksizin, dürüstlüğü güçlendirmek ve yargı mensupları arasında yolsuzluğa neden olabilecek durumları önlemek üzere tedbirler almaya mecbur kılan 11. Maddesi de dâhil olmak üzere Birleşmiş Milletler Yolsuzlukla Mücadele Sözleşmesi</w:t>
      </w:r>
      <w:r w:rsidRPr="00B0543A">
        <w:rPr>
          <w:rFonts w:eastAsia="Times New Roman"/>
          <w:spacing w:val="0"/>
          <w:w w:val="100"/>
          <w:kern w:val="0"/>
          <w:sz w:val="24"/>
          <w:szCs w:val="24"/>
          <w:vertAlign w:val="superscript"/>
          <w:lang w:val="tr-TR" w:bidi="en-US"/>
        </w:rPr>
        <w:footnoteReference w:id="2"/>
      </w:r>
      <w:r w:rsidRPr="00B0543A">
        <w:rPr>
          <w:rFonts w:eastAsia="Times New Roman"/>
          <w:spacing w:val="0"/>
          <w:w w:val="100"/>
          <w:kern w:val="0"/>
          <w:sz w:val="24"/>
          <w:szCs w:val="24"/>
          <w:lang w:val="tr-TR" w:bidi="en-US"/>
        </w:rPr>
        <w:t xml:space="preserve"> 'ni </w:t>
      </w:r>
      <w:r w:rsidRPr="00B0543A">
        <w:rPr>
          <w:rFonts w:eastAsia="Times New Roman"/>
          <w:i/>
          <w:spacing w:val="0"/>
          <w:w w:val="100"/>
          <w:kern w:val="0"/>
          <w:sz w:val="24"/>
          <w:szCs w:val="24"/>
          <w:lang w:val="tr-TR" w:bidi="en-US"/>
        </w:rPr>
        <w:t>hatırlatarak</w:t>
      </w:r>
      <w:r w:rsidRPr="00B0543A">
        <w:rPr>
          <w:rFonts w:eastAsia="Times New Roman"/>
          <w:spacing w:val="0"/>
          <w:w w:val="100"/>
          <w:kern w:val="0"/>
          <w:sz w:val="24"/>
          <w:szCs w:val="24"/>
          <w:lang w:val="tr-TR" w:bidi="en-US"/>
        </w:rPr>
        <w:t xml:space="preserve">, ayrıca yargı süreci içerisinde yolsuzlukla mücadelede şeffaflığın öneminin vurgulandığı Birleşmiş Milletler Yolsuzlukla Mücadele </w:t>
      </w:r>
      <w:r w:rsidRPr="00B0543A">
        <w:rPr>
          <w:rFonts w:eastAsia="Times New Roman"/>
          <w:i/>
          <w:spacing w:val="0"/>
          <w:w w:val="100"/>
          <w:kern w:val="0"/>
          <w:sz w:val="24"/>
          <w:szCs w:val="24"/>
          <w:lang w:val="tr-TR" w:bidi="en-US"/>
        </w:rPr>
        <w:t>11. Madde için Uygulama Rehberi ve Değerlendirme Çerçevesi'</w:t>
      </w:r>
      <w:r w:rsidRPr="00B0543A">
        <w:rPr>
          <w:rFonts w:eastAsia="Times New Roman"/>
          <w:spacing w:val="0"/>
          <w:w w:val="100"/>
          <w:kern w:val="0"/>
          <w:sz w:val="24"/>
          <w:szCs w:val="24"/>
          <w:lang w:val="tr-TR" w:bidi="en-US"/>
        </w:rPr>
        <w:t xml:space="preserve"> ni de </w:t>
      </w:r>
      <w:r w:rsidRPr="00B0543A">
        <w:rPr>
          <w:rFonts w:eastAsia="Times New Roman"/>
          <w:i/>
          <w:spacing w:val="0"/>
          <w:w w:val="100"/>
          <w:kern w:val="0"/>
          <w:sz w:val="24"/>
          <w:szCs w:val="24"/>
          <w:lang w:val="tr-TR" w:bidi="en-US"/>
        </w:rPr>
        <w:t>hatırlatarak</w:t>
      </w:r>
      <w:r w:rsidRPr="00B0543A">
        <w:rPr>
          <w:rFonts w:eastAsia="Times New Roman"/>
          <w:spacing w:val="0"/>
          <w:w w:val="100"/>
          <w:kern w:val="0"/>
          <w:sz w:val="24"/>
          <w:szCs w:val="24"/>
          <w:lang w:val="tr-TR" w:bidi="en-US"/>
        </w:rPr>
        <w:t>;</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 xml:space="preserve">Üye Devletlerin, diğer maddelerin yanı sıra, hiçbir ayrımcılık olmaksızın insan haklarına ve temel özgürlüklere saygıyı teşvik etme ve destekleme konusunda uluslararası işbirliği sağlama ve adaletin idame ettirilebileceği koşuları oluşturma yönünde kararlılıklarını kabul ettikleri Birleşmiş Milletler Antlaşması’nı </w:t>
      </w:r>
      <w:r w:rsidRPr="00B0543A">
        <w:rPr>
          <w:rFonts w:eastAsia="Times New Roman"/>
          <w:i/>
          <w:spacing w:val="0"/>
          <w:w w:val="100"/>
          <w:kern w:val="0"/>
          <w:sz w:val="24"/>
          <w:szCs w:val="24"/>
          <w:lang w:val="tr-TR" w:bidi="en-US"/>
        </w:rPr>
        <w:t>hatırlatarak</w:t>
      </w:r>
      <w:r w:rsidRPr="00B0543A">
        <w:rPr>
          <w:rFonts w:eastAsia="Times New Roman"/>
          <w:spacing w:val="0"/>
          <w:w w:val="100"/>
          <w:kern w:val="0"/>
          <w:sz w:val="24"/>
          <w:szCs w:val="24"/>
          <w:lang w:val="tr-TR" w:bidi="en-US"/>
        </w:rPr>
        <w:t>;</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İlgili diğer uluslararası belgelerle birlikte İnsan Hakları Evrensel Beyannamesi</w:t>
      </w:r>
      <w:r w:rsidRPr="00B0543A">
        <w:rPr>
          <w:rFonts w:eastAsia="Times New Roman"/>
          <w:spacing w:val="0"/>
          <w:w w:val="100"/>
          <w:kern w:val="0"/>
          <w:sz w:val="24"/>
          <w:szCs w:val="24"/>
          <w:vertAlign w:val="superscript"/>
          <w:lang w:val="tr-TR" w:bidi="en-US"/>
        </w:rPr>
        <w:footnoteReference w:id="3"/>
      </w:r>
      <w:r w:rsidRPr="00B0543A">
        <w:rPr>
          <w:rFonts w:eastAsia="Times New Roman"/>
          <w:spacing w:val="0"/>
          <w:w w:val="100"/>
          <w:kern w:val="0"/>
          <w:sz w:val="24"/>
          <w:szCs w:val="24"/>
          <w:lang w:val="tr-TR" w:bidi="en-US"/>
        </w:rPr>
        <w:t xml:space="preserve"> ve Uluslararası Medeni ve Siyasi Haklar Sözleşmesi</w:t>
      </w:r>
      <w:r w:rsidRPr="00B0543A">
        <w:rPr>
          <w:rFonts w:eastAsia="Times New Roman"/>
          <w:spacing w:val="0"/>
          <w:w w:val="100"/>
          <w:kern w:val="0"/>
          <w:sz w:val="24"/>
          <w:szCs w:val="24"/>
          <w:vertAlign w:val="superscript"/>
          <w:lang w:val="tr-TR" w:bidi="en-US"/>
        </w:rPr>
        <w:footnoteReference w:id="4"/>
      </w:r>
      <w:r w:rsidRPr="00B0543A">
        <w:rPr>
          <w:rFonts w:eastAsia="Times New Roman"/>
          <w:spacing w:val="0"/>
          <w:w w:val="100"/>
          <w:kern w:val="0"/>
          <w:sz w:val="24"/>
          <w:szCs w:val="24"/>
          <w:lang w:val="tr-TR" w:bidi="en-US"/>
        </w:rPr>
        <w:t xml:space="preserve">’nde yer alanları da </w:t>
      </w:r>
      <w:r w:rsidRPr="00B0543A">
        <w:rPr>
          <w:rFonts w:eastAsia="Times New Roman"/>
          <w:spacing w:val="0"/>
          <w:w w:val="100"/>
          <w:kern w:val="0"/>
          <w:sz w:val="24"/>
          <w:szCs w:val="24"/>
          <w:lang w:val="tr-TR" w:bidi="en-US"/>
        </w:rPr>
        <w:lastRenderedPageBreak/>
        <w:t xml:space="preserve">kapsayacak şekilde yargı sürecinde şeffaflığa ilişkin bütün uluslararası ilkeler ile Taraf Devletlerin taahhütlerini ve yükümlülüklerini </w:t>
      </w:r>
      <w:r w:rsidRPr="00B0543A">
        <w:rPr>
          <w:rFonts w:eastAsia="Times New Roman"/>
          <w:i/>
          <w:spacing w:val="0"/>
          <w:w w:val="100"/>
          <w:kern w:val="0"/>
          <w:sz w:val="24"/>
          <w:szCs w:val="24"/>
          <w:lang w:val="tr-TR" w:bidi="en-US"/>
        </w:rPr>
        <w:t>hatırlatarak</w:t>
      </w:r>
      <w:r w:rsidRPr="00B0543A">
        <w:rPr>
          <w:rFonts w:eastAsia="Times New Roman"/>
          <w:spacing w:val="0"/>
          <w:w w:val="100"/>
          <w:kern w:val="0"/>
          <w:sz w:val="24"/>
          <w:szCs w:val="24"/>
          <w:lang w:val="tr-TR" w:bidi="en-US"/>
        </w:rPr>
        <w:t xml:space="preserve">, ayrıca uluslararası alanda kabul edilmiş ilgili diğer belgeleri de </w:t>
      </w:r>
      <w:r w:rsidRPr="00B0543A">
        <w:rPr>
          <w:rFonts w:eastAsia="Times New Roman"/>
          <w:i/>
          <w:spacing w:val="0"/>
          <w:w w:val="100"/>
          <w:kern w:val="0"/>
          <w:sz w:val="24"/>
          <w:szCs w:val="24"/>
          <w:lang w:val="tr-TR" w:bidi="en-US"/>
        </w:rPr>
        <w:t>göz önünde bulundurarak</w:t>
      </w:r>
      <w:r w:rsidRPr="00B0543A">
        <w:rPr>
          <w:rFonts w:eastAsia="Times New Roman"/>
          <w:spacing w:val="0"/>
          <w:w w:val="100"/>
          <w:kern w:val="0"/>
          <w:sz w:val="24"/>
          <w:szCs w:val="24"/>
          <w:lang w:val="tr-TR" w:bidi="en-US"/>
        </w:rPr>
        <w:t>;</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b/>
          <w:bCs/>
          <w:spacing w:val="0"/>
          <w:w w:val="100"/>
          <w:kern w:val="0"/>
          <w:sz w:val="24"/>
          <w:szCs w:val="24"/>
          <w:lang w:val="tr-TR" w:bidi="en-US"/>
        </w:rPr>
      </w:pPr>
    </w:p>
    <w:p w:rsid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Çocuklar, şiddet mağdurları ve özel ihtiyaç sahibi bireyler gibi toplumun belli üyelerine fazladan koruma sağlanması gerektiğini ve bu kişilerin ceza adaleti sistemiyle karşılaştıklarında daha savunmasız olduğunu</w:t>
      </w:r>
      <w:r w:rsidRPr="00B0543A">
        <w:rPr>
          <w:rFonts w:eastAsia="Times New Roman"/>
          <w:i/>
          <w:spacing w:val="0"/>
          <w:w w:val="100"/>
          <w:kern w:val="0"/>
          <w:sz w:val="24"/>
          <w:szCs w:val="24"/>
          <w:lang w:val="tr-TR" w:bidi="en-US"/>
        </w:rPr>
        <w:t xml:space="preserve"> kabul ederek</w:t>
      </w:r>
      <w:r w:rsidRPr="00B0543A">
        <w:rPr>
          <w:rFonts w:eastAsia="Times New Roman"/>
          <w:spacing w:val="0"/>
          <w:w w:val="100"/>
          <w:kern w:val="0"/>
          <w:sz w:val="24"/>
          <w:szCs w:val="24"/>
          <w:lang w:val="tr-TR" w:bidi="en-US"/>
        </w:rPr>
        <w:t xml:space="preserve">; </w:t>
      </w:r>
    </w:p>
    <w:p w:rsid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p>
    <w:p w:rsidR="00B0543A" w:rsidRPr="00B0543A" w:rsidRDefault="007E61B5" w:rsidP="00B0543A">
      <w:pPr>
        <w:widowControl w:val="0"/>
        <w:suppressAutoHyphens w:val="0"/>
        <w:autoSpaceDE w:val="0"/>
        <w:autoSpaceDN w:val="0"/>
        <w:spacing w:line="240" w:lineRule="auto"/>
        <w:ind w:left="993" w:right="764" w:firstLine="403"/>
        <w:jc w:val="both"/>
        <w:outlineLvl w:val="0"/>
        <w:rPr>
          <w:spacing w:val="0"/>
          <w:w w:val="100"/>
          <w:kern w:val="0"/>
          <w:sz w:val="24"/>
          <w:szCs w:val="24"/>
          <w:lang w:val="tr-TR" w:bidi="en-US"/>
        </w:rPr>
      </w:pPr>
      <w:r w:rsidRPr="007E61B5">
        <w:rPr>
          <w:i/>
          <w:iCs/>
        </w:rPr>
        <w:tab/>
      </w:r>
      <w:r w:rsidR="00B0543A" w:rsidRPr="00B0543A">
        <w:rPr>
          <w:spacing w:val="0"/>
          <w:w w:val="100"/>
          <w:kern w:val="0"/>
          <w:sz w:val="24"/>
          <w:szCs w:val="24"/>
          <w:lang w:val="tr-TR" w:bidi="en-US"/>
        </w:rPr>
        <w:t>Genel Kurul’un Yargı Bağımsızlığı Temel İlkeleri</w:t>
      </w:r>
      <w:r w:rsidR="00B0543A" w:rsidRPr="00B0543A">
        <w:rPr>
          <w:spacing w:val="0"/>
          <w:w w:val="100"/>
          <w:kern w:val="0"/>
          <w:sz w:val="24"/>
          <w:szCs w:val="24"/>
          <w:vertAlign w:val="superscript"/>
          <w:lang w:val="tr-TR" w:bidi="en-US"/>
        </w:rPr>
        <w:footnoteReference w:id="5"/>
      </w:r>
      <w:r w:rsidR="00B0543A" w:rsidRPr="00B0543A">
        <w:rPr>
          <w:spacing w:val="0"/>
          <w:w w:val="100"/>
          <w:kern w:val="0"/>
          <w:sz w:val="24"/>
          <w:szCs w:val="24"/>
          <w:lang w:val="tr-TR" w:bidi="en-US"/>
        </w:rPr>
        <w:t xml:space="preserve">’ni kabul ettiği 13 Aralık 1985 tarihli </w:t>
      </w:r>
      <w:hyperlink r:id="rId13" w:history="1">
        <w:r w:rsidR="00B0543A" w:rsidRPr="00B0543A">
          <w:rPr>
            <w:color w:val="0000FF"/>
            <w:spacing w:val="0"/>
            <w:w w:val="100"/>
            <w:kern w:val="0"/>
            <w:sz w:val="24"/>
            <w:szCs w:val="24"/>
            <w:u w:val="single"/>
            <w:lang w:val="tr-TR" w:bidi="en-US"/>
          </w:rPr>
          <w:t>40/146</w:t>
        </w:r>
      </w:hyperlink>
      <w:r w:rsidR="00B0543A" w:rsidRPr="00B0543A">
        <w:rPr>
          <w:spacing w:val="0"/>
          <w:w w:val="100"/>
          <w:kern w:val="0"/>
          <w:sz w:val="24"/>
          <w:szCs w:val="24"/>
          <w:lang w:val="tr-TR" w:bidi="en-US"/>
        </w:rPr>
        <w:t xml:space="preserve"> sayılı Genel Kurul kararını </w:t>
      </w:r>
      <w:r w:rsidR="00B0543A" w:rsidRPr="00B0543A">
        <w:rPr>
          <w:i/>
          <w:spacing w:val="0"/>
          <w:w w:val="100"/>
          <w:kern w:val="0"/>
          <w:sz w:val="24"/>
          <w:szCs w:val="24"/>
          <w:lang w:val="tr-TR" w:bidi="en-US"/>
        </w:rPr>
        <w:t>da hatırlatarak</w:t>
      </w:r>
      <w:r w:rsidR="00B0543A" w:rsidRPr="00B0543A">
        <w:rPr>
          <w:spacing w:val="0"/>
          <w:w w:val="100"/>
          <w:kern w:val="0"/>
          <w:sz w:val="24"/>
          <w:szCs w:val="24"/>
          <w:lang w:val="tr-TR" w:bidi="en-US"/>
        </w:rPr>
        <w:t xml:space="preserve">; </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Yargı görevinin icrasında bağımsızlık, tarafsızlık, dürüstlük, mesleğe yaraşırlık, eşitlik, ehliyet ve özen değerlerinin vurgulandığı Bangalor Yargı Etiği İlkeleri</w:t>
      </w:r>
      <w:r w:rsidRPr="00B0543A">
        <w:rPr>
          <w:rFonts w:eastAsia="Times New Roman"/>
          <w:spacing w:val="0"/>
          <w:w w:val="100"/>
          <w:kern w:val="0"/>
          <w:sz w:val="24"/>
          <w:szCs w:val="24"/>
          <w:vertAlign w:val="superscript"/>
          <w:lang w:val="tr-TR" w:bidi="en-US"/>
        </w:rPr>
        <w:footnoteReference w:id="6"/>
      </w:r>
      <w:r w:rsidRPr="00B0543A">
        <w:rPr>
          <w:rFonts w:eastAsia="Times New Roman"/>
          <w:spacing w:val="0"/>
          <w:w w:val="100"/>
          <w:kern w:val="0"/>
          <w:sz w:val="24"/>
          <w:szCs w:val="24"/>
          <w:lang w:val="tr-TR" w:bidi="en-US"/>
        </w:rPr>
        <w:t xml:space="preserve">’ni </w:t>
      </w:r>
      <w:r w:rsidRPr="00B0543A">
        <w:rPr>
          <w:rFonts w:eastAsia="Times New Roman"/>
          <w:i/>
          <w:spacing w:val="0"/>
          <w:w w:val="100"/>
          <w:kern w:val="0"/>
          <w:sz w:val="24"/>
          <w:szCs w:val="24"/>
          <w:lang w:val="tr-TR" w:bidi="en-US"/>
        </w:rPr>
        <w:t>dikkate alarak</w:t>
      </w:r>
      <w:r w:rsidRPr="00B0543A">
        <w:rPr>
          <w:rFonts w:eastAsia="Times New Roman"/>
          <w:spacing w:val="0"/>
          <w:w w:val="100"/>
          <w:kern w:val="0"/>
          <w:sz w:val="24"/>
          <w:szCs w:val="24"/>
          <w:lang w:val="tr-TR" w:bidi="en-US"/>
        </w:rPr>
        <w:t xml:space="preserve"> ve bunun üzerine yazılan yorumu </w:t>
      </w:r>
      <w:r w:rsidRPr="00B0543A">
        <w:rPr>
          <w:rFonts w:eastAsia="Times New Roman"/>
          <w:i/>
          <w:spacing w:val="0"/>
          <w:w w:val="100"/>
          <w:kern w:val="0"/>
          <w:sz w:val="24"/>
          <w:szCs w:val="24"/>
          <w:lang w:val="tr-TR" w:bidi="en-US"/>
        </w:rPr>
        <w:t>kaydederek</w:t>
      </w:r>
      <w:r w:rsidRPr="00B0543A">
        <w:rPr>
          <w:rFonts w:eastAsia="Times New Roman"/>
          <w:spacing w:val="0"/>
          <w:w w:val="100"/>
          <w:kern w:val="0"/>
          <w:sz w:val="24"/>
          <w:szCs w:val="24"/>
          <w:lang w:val="tr-TR" w:bidi="en-US"/>
        </w:rPr>
        <w:t xml:space="preserve">; </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 xml:space="preserve">Yargı sürecinde bağımsızlık, tarafsızlık, dürüstlük, mesleğe yaraşırlık, eşitlik, ehliyet ve özenin eksikliğinin hukukun üstünlüğünü zayıflatabileceği, yolsuzluğu teşvik edeceği ve toplumun yargı sistemine duyduğu güveni olumsuz yönde etkileyeceği </w:t>
      </w:r>
      <w:r w:rsidRPr="00B0543A">
        <w:rPr>
          <w:rFonts w:eastAsia="Times New Roman"/>
          <w:i/>
          <w:spacing w:val="0"/>
          <w:w w:val="100"/>
          <w:kern w:val="0"/>
          <w:sz w:val="24"/>
          <w:szCs w:val="24"/>
          <w:lang w:val="tr-TR" w:bidi="en-US"/>
        </w:rPr>
        <w:t>kanaatinde olarak</w:t>
      </w:r>
      <w:r w:rsidRPr="00B0543A">
        <w:rPr>
          <w:rFonts w:eastAsia="Times New Roman"/>
          <w:spacing w:val="0"/>
          <w:w w:val="100"/>
          <w:kern w:val="0"/>
          <w:sz w:val="24"/>
          <w:szCs w:val="24"/>
          <w:lang w:val="tr-TR" w:bidi="en-US"/>
        </w:rPr>
        <w:t>;</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firstLine="403"/>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 xml:space="preserve">Üye Devletlerin yasal çerçevelerinin çeşitliliğini </w:t>
      </w:r>
      <w:r w:rsidRPr="00B0543A">
        <w:rPr>
          <w:rFonts w:eastAsia="Times New Roman"/>
          <w:i/>
          <w:spacing w:val="0"/>
          <w:w w:val="100"/>
          <w:kern w:val="0"/>
          <w:sz w:val="24"/>
          <w:szCs w:val="24"/>
          <w:lang w:val="tr-TR" w:bidi="en-US"/>
        </w:rPr>
        <w:t>kabul ederek</w:t>
      </w:r>
      <w:r w:rsidRPr="00B0543A">
        <w:rPr>
          <w:rFonts w:eastAsia="Times New Roman"/>
          <w:spacing w:val="0"/>
          <w:w w:val="100"/>
          <w:kern w:val="0"/>
          <w:sz w:val="24"/>
          <w:szCs w:val="24"/>
          <w:lang w:val="tr-TR" w:bidi="en-US"/>
        </w:rPr>
        <w:t xml:space="preserve"> ve Üye Devletlerin anayasal ve yasal gelenekleri doğrultusunda, yargı sürecinde şeffaflığa yönelik yaklaşımlarının çeşitliliğini kabul ederek; </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ab/>
      </w:r>
    </w:p>
    <w:p w:rsidR="00B0543A" w:rsidRPr="00B0543A" w:rsidRDefault="00B0543A" w:rsidP="00B0543A">
      <w:pPr>
        <w:widowControl w:val="0"/>
        <w:numPr>
          <w:ilvl w:val="0"/>
          <w:numId w:val="43"/>
        </w:numPr>
        <w:tabs>
          <w:tab w:val="left" w:pos="1843"/>
        </w:tabs>
        <w:suppressAutoHyphens w:val="0"/>
        <w:autoSpaceDE w:val="0"/>
        <w:autoSpaceDN w:val="0"/>
        <w:spacing w:line="240" w:lineRule="auto"/>
        <w:ind w:left="993" w:right="764" w:firstLine="425"/>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 xml:space="preserve">Yargı sürecinde şeffaflığı sağlamak üzere altı yıldan fazla bir süre zarfı içerisinde, bu ilkelerin etkili bir biçimde uygulanması için tedbirlerle birlikte, geliştiren ve kabul eden bütün kıtalardan 37 ülkenin yüksek mahkeme başkanları ve kıdemli yargıçlarının ortak çabalarını </w:t>
      </w:r>
      <w:r w:rsidRPr="00B0543A">
        <w:rPr>
          <w:rFonts w:eastAsia="Times New Roman"/>
          <w:i/>
          <w:spacing w:val="0"/>
          <w:w w:val="100"/>
          <w:kern w:val="0"/>
          <w:sz w:val="24"/>
          <w:szCs w:val="24"/>
          <w:lang w:val="tr-TR" w:bidi="en-US"/>
        </w:rPr>
        <w:t>dikkate alır</w:t>
      </w:r>
      <w:r w:rsidRPr="00B0543A">
        <w:rPr>
          <w:rFonts w:eastAsia="Times New Roman"/>
          <w:spacing w:val="0"/>
          <w:w w:val="100"/>
          <w:kern w:val="0"/>
          <w:sz w:val="24"/>
          <w:szCs w:val="24"/>
          <w:lang w:val="tr-TR" w:bidi="en-US"/>
        </w:rPr>
        <w:t xml:space="preserve"> ve Yargı Sürecinde Şeffaflığa İlişkin İstanbul Bildirgesi ile İstanbul Bildirgesi’nin Etkili Biçimde Uygulanması İçin Tedbirler</w:t>
      </w:r>
      <w:r w:rsidRPr="00B0543A">
        <w:rPr>
          <w:rFonts w:eastAsia="Times New Roman"/>
          <w:spacing w:val="0"/>
          <w:w w:val="100"/>
          <w:kern w:val="0"/>
          <w:sz w:val="24"/>
          <w:szCs w:val="24"/>
          <w:vertAlign w:val="superscript"/>
          <w:lang w:val="tr-TR" w:bidi="en-US"/>
        </w:rPr>
        <w:footnoteReference w:id="7"/>
      </w:r>
      <w:r w:rsidRPr="00B0543A">
        <w:rPr>
          <w:rFonts w:eastAsia="Times New Roman"/>
          <w:spacing w:val="0"/>
          <w:w w:val="100"/>
          <w:kern w:val="0"/>
          <w:sz w:val="24"/>
          <w:szCs w:val="24"/>
          <w:lang w:val="tr-TR" w:bidi="en-US"/>
        </w:rPr>
        <w:t xml:space="preserve">’in toplumun yasayla kurulmuş yetkin, bağımsız ve tarafsız bir mahkeme tarafından adil yargılanma hakkına duyduğu güvenin artırılmasını ve güçlendirilmesini amaçladığını </w:t>
      </w:r>
      <w:r w:rsidRPr="00B0543A">
        <w:rPr>
          <w:rFonts w:eastAsia="Times New Roman"/>
          <w:i/>
          <w:spacing w:val="0"/>
          <w:w w:val="100"/>
          <w:kern w:val="0"/>
          <w:sz w:val="24"/>
          <w:szCs w:val="24"/>
          <w:lang w:val="tr-TR" w:bidi="en-US"/>
        </w:rPr>
        <w:t>kaydeder</w:t>
      </w:r>
      <w:r w:rsidRPr="00B0543A">
        <w:rPr>
          <w:rFonts w:eastAsia="Times New Roman"/>
          <w:spacing w:val="0"/>
          <w:w w:val="100"/>
          <w:kern w:val="0"/>
          <w:sz w:val="24"/>
          <w:szCs w:val="24"/>
          <w:lang w:val="tr-TR" w:bidi="en-US"/>
        </w:rPr>
        <w:t>;</w:t>
      </w:r>
    </w:p>
    <w:p w:rsidR="00B0543A" w:rsidRPr="00B0543A" w:rsidRDefault="00B0543A" w:rsidP="00B0543A">
      <w:pPr>
        <w:widowControl w:val="0"/>
        <w:suppressAutoHyphens w:val="0"/>
        <w:autoSpaceDE w:val="0"/>
        <w:autoSpaceDN w:val="0"/>
        <w:spacing w:line="240" w:lineRule="auto"/>
        <w:ind w:left="993" w:right="764"/>
        <w:jc w:val="both"/>
        <w:outlineLvl w:val="0"/>
        <w:rPr>
          <w:rFonts w:eastAsia="Times New Roman"/>
          <w:spacing w:val="0"/>
          <w:w w:val="100"/>
          <w:kern w:val="0"/>
          <w:sz w:val="24"/>
          <w:szCs w:val="24"/>
          <w:lang w:val="tr-TR" w:bidi="en-US"/>
        </w:rPr>
      </w:pPr>
    </w:p>
    <w:p w:rsidR="00B0543A" w:rsidRPr="00B0543A" w:rsidRDefault="00B0543A" w:rsidP="00B0543A">
      <w:pPr>
        <w:widowControl w:val="0"/>
        <w:numPr>
          <w:ilvl w:val="0"/>
          <w:numId w:val="43"/>
        </w:numPr>
        <w:tabs>
          <w:tab w:val="left" w:pos="1843"/>
        </w:tabs>
        <w:suppressAutoHyphens w:val="0"/>
        <w:autoSpaceDE w:val="0"/>
        <w:autoSpaceDN w:val="0"/>
        <w:spacing w:line="240" w:lineRule="auto"/>
        <w:ind w:left="993" w:right="764" w:firstLine="425"/>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 xml:space="preserve">Birleşmiş Milletler Uyuşturucu ve Suç Ofisi’nden kendi yetkisi ve var olan kaynakları dâhilinde Üye Devletlerin yargı sistemlerini güçlendirme amaçlı çabalarında, Üye Devletlerin isteği doğrultusunda bu ülkelere destek vermeye devam etmesini </w:t>
      </w:r>
      <w:r w:rsidRPr="00B0543A">
        <w:rPr>
          <w:rFonts w:eastAsia="Times New Roman"/>
          <w:i/>
          <w:spacing w:val="0"/>
          <w:w w:val="100"/>
          <w:kern w:val="0"/>
          <w:sz w:val="24"/>
          <w:szCs w:val="24"/>
          <w:lang w:val="tr-TR" w:bidi="en-US"/>
        </w:rPr>
        <w:t>talep eder</w:t>
      </w:r>
      <w:r w:rsidRPr="00B0543A">
        <w:rPr>
          <w:rFonts w:eastAsia="Times New Roman"/>
          <w:spacing w:val="0"/>
          <w:w w:val="100"/>
          <w:kern w:val="0"/>
          <w:sz w:val="24"/>
          <w:szCs w:val="24"/>
          <w:lang w:val="tr-TR" w:bidi="en-US"/>
        </w:rPr>
        <w:t xml:space="preserve">; </w:t>
      </w:r>
    </w:p>
    <w:p w:rsidR="00B0543A" w:rsidRPr="00B0543A" w:rsidRDefault="00B0543A" w:rsidP="00B0543A">
      <w:pPr>
        <w:widowControl w:val="0"/>
        <w:suppressAutoHyphens w:val="0"/>
        <w:autoSpaceDE w:val="0"/>
        <w:autoSpaceDN w:val="0"/>
        <w:spacing w:before="117" w:line="240" w:lineRule="auto"/>
        <w:ind w:left="993" w:right="764" w:firstLine="477"/>
        <w:jc w:val="both"/>
        <w:rPr>
          <w:rFonts w:eastAsia="Times New Roman"/>
          <w:spacing w:val="0"/>
          <w:w w:val="100"/>
          <w:kern w:val="0"/>
          <w:sz w:val="24"/>
          <w:szCs w:val="24"/>
          <w:lang w:val="tr-TR" w:bidi="en-US"/>
        </w:rPr>
      </w:pPr>
    </w:p>
    <w:p w:rsidR="00B0543A" w:rsidRPr="00B0543A" w:rsidRDefault="00B0543A" w:rsidP="00B0543A">
      <w:pPr>
        <w:widowControl w:val="0"/>
        <w:numPr>
          <w:ilvl w:val="0"/>
          <w:numId w:val="43"/>
        </w:numPr>
        <w:tabs>
          <w:tab w:val="left" w:pos="1843"/>
        </w:tabs>
        <w:suppressAutoHyphens w:val="0"/>
        <w:autoSpaceDE w:val="0"/>
        <w:autoSpaceDN w:val="0"/>
        <w:spacing w:line="240" w:lineRule="auto"/>
        <w:ind w:left="993" w:right="764" w:firstLine="425"/>
        <w:jc w:val="both"/>
        <w:outlineLvl w:val="0"/>
        <w:rPr>
          <w:rFonts w:eastAsia="Times New Roman"/>
          <w:spacing w:val="0"/>
          <w:w w:val="100"/>
          <w:kern w:val="0"/>
          <w:sz w:val="24"/>
          <w:szCs w:val="24"/>
          <w:lang w:val="tr-TR" w:bidi="en-US"/>
        </w:rPr>
      </w:pPr>
      <w:r w:rsidRPr="00B0543A">
        <w:rPr>
          <w:rFonts w:eastAsia="Times New Roman"/>
          <w:spacing w:val="0"/>
          <w:w w:val="100"/>
          <w:kern w:val="0"/>
          <w:sz w:val="24"/>
          <w:szCs w:val="24"/>
          <w:lang w:val="tr-TR" w:bidi="en-US"/>
        </w:rPr>
        <w:t>Üye Devletleri adalet yönetimi konusunda program ve yasal reformlar oluştururken kendi yasal çerçeveleri ve uluslararası yükümlülükleri ile uyumlu olacak şekilde</w:t>
      </w:r>
      <w:r>
        <w:rPr>
          <w:rFonts w:eastAsia="Times New Roman"/>
          <w:spacing w:val="0"/>
          <w:w w:val="100"/>
          <w:kern w:val="0"/>
          <w:sz w:val="24"/>
          <w:szCs w:val="24"/>
          <w:lang w:val="tr-TR" w:bidi="en-US"/>
        </w:rPr>
        <w:t xml:space="preserve"> </w:t>
      </w:r>
      <w:r w:rsidRPr="00B0543A">
        <w:rPr>
          <w:rFonts w:eastAsia="Times New Roman"/>
          <w:spacing w:val="0"/>
          <w:w w:val="100"/>
          <w:kern w:val="0"/>
          <w:sz w:val="24"/>
          <w:szCs w:val="24"/>
          <w:lang w:val="tr-TR" w:bidi="en-US"/>
        </w:rPr>
        <w:t>Yargıda</w:t>
      </w:r>
      <w:r>
        <w:rPr>
          <w:rFonts w:eastAsia="Times New Roman"/>
          <w:spacing w:val="0"/>
          <w:w w:val="100"/>
          <w:kern w:val="0"/>
          <w:sz w:val="24"/>
          <w:szCs w:val="24"/>
          <w:lang w:val="tr-TR" w:bidi="en-US"/>
        </w:rPr>
        <w:t xml:space="preserve"> </w:t>
      </w:r>
      <w:r w:rsidRPr="00B0543A">
        <w:rPr>
          <w:rFonts w:eastAsia="Times New Roman"/>
          <w:spacing w:val="0"/>
          <w:w w:val="100"/>
          <w:kern w:val="0"/>
          <w:sz w:val="24"/>
          <w:szCs w:val="24"/>
          <w:lang w:val="tr-TR" w:bidi="en-US"/>
        </w:rPr>
        <w:t xml:space="preserve">Şeffaflığa İlişkin İstanbul Bildirgesi de dâhil olmak üzere ilgili bütün faydalı uygulamaları ve belgeleri göz önünde bulundurmaya </w:t>
      </w:r>
      <w:r w:rsidRPr="00B0543A">
        <w:rPr>
          <w:rFonts w:eastAsia="Times New Roman"/>
          <w:i/>
          <w:spacing w:val="0"/>
          <w:w w:val="100"/>
          <w:kern w:val="0"/>
          <w:sz w:val="24"/>
          <w:szCs w:val="24"/>
          <w:lang w:val="tr-TR" w:bidi="en-US"/>
        </w:rPr>
        <w:t>davet eder</w:t>
      </w:r>
      <w:r w:rsidRPr="00B0543A">
        <w:rPr>
          <w:rFonts w:eastAsia="Times New Roman"/>
          <w:spacing w:val="0"/>
          <w:w w:val="100"/>
          <w:kern w:val="0"/>
          <w:sz w:val="24"/>
          <w:szCs w:val="24"/>
          <w:lang w:val="tr-TR" w:bidi="en-US"/>
        </w:rPr>
        <w:t xml:space="preserve">; </w:t>
      </w:r>
    </w:p>
    <w:p w:rsidR="00B0543A" w:rsidRPr="00B0543A" w:rsidRDefault="00B0543A" w:rsidP="00B0543A">
      <w:pPr>
        <w:widowControl w:val="0"/>
        <w:suppressAutoHyphens w:val="0"/>
        <w:autoSpaceDE w:val="0"/>
        <w:autoSpaceDN w:val="0"/>
        <w:spacing w:before="117" w:line="240" w:lineRule="auto"/>
        <w:ind w:left="993" w:right="764" w:firstLine="477"/>
        <w:jc w:val="both"/>
        <w:rPr>
          <w:rFonts w:eastAsia="Times New Roman"/>
          <w:spacing w:val="0"/>
          <w:w w:val="100"/>
          <w:kern w:val="0"/>
          <w:sz w:val="24"/>
          <w:szCs w:val="24"/>
          <w:lang w:val="tr-TR" w:bidi="en-US"/>
        </w:rPr>
      </w:pPr>
    </w:p>
    <w:p w:rsidR="007E61B5" w:rsidRPr="005700FE" w:rsidRDefault="00B0543A" w:rsidP="00B0543A">
      <w:pPr>
        <w:widowControl w:val="0"/>
        <w:numPr>
          <w:ilvl w:val="0"/>
          <w:numId w:val="43"/>
        </w:numPr>
        <w:tabs>
          <w:tab w:val="left" w:pos="1843"/>
        </w:tabs>
        <w:suppressAutoHyphens w:val="0"/>
        <w:autoSpaceDE w:val="0"/>
        <w:autoSpaceDN w:val="0"/>
        <w:spacing w:before="117" w:line="240" w:lineRule="auto"/>
        <w:ind w:left="993" w:right="764" w:firstLine="477"/>
        <w:jc w:val="both"/>
        <w:outlineLvl w:val="0"/>
      </w:pPr>
      <w:r w:rsidRPr="00B0543A">
        <w:rPr>
          <w:rFonts w:eastAsia="Times New Roman"/>
          <w:spacing w:val="0"/>
          <w:w w:val="100"/>
          <w:kern w:val="0"/>
          <w:sz w:val="24"/>
          <w:szCs w:val="24"/>
          <w:lang w:val="tr-TR" w:bidi="en-US"/>
        </w:rPr>
        <w:t xml:space="preserve">Üye Devletleri ve diğer bağışçıları Birleşmiş Milletler kural ve usulleri uyarınca mevcut taslağın amaçlarını gerçekleştirmek üzere ek bütçe kaynakları sağlamaya </w:t>
      </w:r>
      <w:r w:rsidRPr="00B0543A">
        <w:rPr>
          <w:rFonts w:eastAsia="Times New Roman"/>
          <w:i/>
          <w:spacing w:val="0"/>
          <w:w w:val="100"/>
          <w:kern w:val="0"/>
          <w:sz w:val="24"/>
          <w:szCs w:val="24"/>
          <w:lang w:val="tr-TR" w:bidi="en-US"/>
        </w:rPr>
        <w:t>davet eder.</w:t>
      </w:r>
    </w:p>
    <w:sectPr w:rsidR="007E61B5" w:rsidRPr="005700FE" w:rsidSect="00B0543A">
      <w:endnotePr>
        <w:numFmt w:val="decimal"/>
      </w:endnotePr>
      <w:type w:val="continuous"/>
      <w:pgSz w:w="11909" w:h="16834"/>
      <w:pgMar w:top="263" w:right="1032" w:bottom="1151" w:left="1032" w:header="142" w:footer="504"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395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5C" w:rsidRDefault="006D5E5C" w:rsidP="00556720">
      <w:r>
        <w:separator/>
      </w:r>
    </w:p>
  </w:endnote>
  <w:endnote w:type="continuationSeparator" w:id="1">
    <w:p w:rsidR="006D5E5C" w:rsidRDefault="006D5E5C" w:rsidP="00556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4922"/>
      <w:gridCol w:w="4923"/>
    </w:tblGrid>
    <w:tr w:rsidR="00053AE8" w:rsidTr="00053AE8">
      <w:trPr>
        <w:jc w:val="center"/>
      </w:trPr>
      <w:tc>
        <w:tcPr>
          <w:tcW w:w="4922" w:type="dxa"/>
          <w:shd w:val="clear" w:color="auto" w:fill="auto"/>
        </w:tcPr>
        <w:p w:rsidR="00053AE8" w:rsidRPr="00053AE8" w:rsidRDefault="00EF7123" w:rsidP="00053AE8">
          <w:pPr>
            <w:pStyle w:val="Altbilgi"/>
            <w:jc w:val="right"/>
            <w:rPr>
              <w:b w:val="0"/>
              <w:w w:val="103"/>
              <w:sz w:val="14"/>
            </w:rPr>
          </w:pPr>
          <w:fldSimple w:instr=" DOCVARIABLE &quot;FooterJN&quot; \* MERGEFORMAT ">
            <w:r w:rsidR="008106EC">
              <w:rPr>
                <w:b w:val="0"/>
                <w:w w:val="103"/>
                <w:sz w:val="14"/>
              </w:rPr>
              <w:t>V.19-03642</w:t>
            </w:r>
          </w:fldSimple>
        </w:p>
      </w:tc>
      <w:tc>
        <w:tcPr>
          <w:tcW w:w="4923" w:type="dxa"/>
          <w:shd w:val="clear" w:color="auto" w:fill="auto"/>
        </w:tcPr>
        <w:p w:rsidR="00053AE8" w:rsidRPr="00053AE8" w:rsidRDefault="00EF7123" w:rsidP="00053AE8">
          <w:pPr>
            <w:pStyle w:val="Altbilgi"/>
            <w:rPr>
              <w:w w:val="103"/>
            </w:rPr>
          </w:pPr>
          <w:r>
            <w:rPr>
              <w:w w:val="103"/>
            </w:rPr>
            <w:fldChar w:fldCharType="begin"/>
          </w:r>
          <w:r w:rsidR="00053AE8">
            <w:rPr>
              <w:w w:val="103"/>
            </w:rPr>
            <w:instrText xml:space="preserve"> PAGE  \* Arabic  \* MERGEFORMAT </w:instrText>
          </w:r>
          <w:r>
            <w:rPr>
              <w:w w:val="103"/>
            </w:rPr>
            <w:fldChar w:fldCharType="separate"/>
          </w:r>
          <w:r w:rsidR="006747C3">
            <w:rPr>
              <w:w w:val="103"/>
            </w:rPr>
            <w:t>2</w:t>
          </w:r>
          <w:r>
            <w:rPr>
              <w:w w:val="103"/>
            </w:rPr>
            <w:fldChar w:fldCharType="end"/>
          </w:r>
          <w:r w:rsidR="00053AE8">
            <w:rPr>
              <w:w w:val="103"/>
            </w:rPr>
            <w:t>/</w:t>
          </w:r>
          <w:fldSimple w:instr=" NUMPAGES  \* Arabic  \* MERGEFORMAT ">
            <w:r w:rsidR="006747C3" w:rsidRPr="006747C3">
              <w:rPr>
                <w:w w:val="103"/>
              </w:rPr>
              <w:t>2</w:t>
            </w:r>
          </w:fldSimple>
        </w:p>
      </w:tc>
    </w:tr>
  </w:tbl>
  <w:p w:rsidR="00053AE8" w:rsidRPr="00053AE8" w:rsidRDefault="00053AE8" w:rsidP="00053AE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4922"/>
      <w:gridCol w:w="4923"/>
    </w:tblGrid>
    <w:tr w:rsidR="00053AE8" w:rsidTr="00053AE8">
      <w:trPr>
        <w:jc w:val="center"/>
      </w:trPr>
      <w:tc>
        <w:tcPr>
          <w:tcW w:w="4922" w:type="dxa"/>
          <w:shd w:val="clear" w:color="auto" w:fill="auto"/>
        </w:tcPr>
        <w:p w:rsidR="00053AE8" w:rsidRPr="00053AE8" w:rsidRDefault="00EF7123" w:rsidP="00053AE8">
          <w:pPr>
            <w:pStyle w:val="Altbilgi"/>
            <w:jc w:val="right"/>
            <w:rPr>
              <w:w w:val="103"/>
            </w:rPr>
          </w:pPr>
          <w:r>
            <w:rPr>
              <w:w w:val="103"/>
            </w:rPr>
            <w:fldChar w:fldCharType="begin"/>
          </w:r>
          <w:r w:rsidR="00053AE8">
            <w:rPr>
              <w:w w:val="103"/>
            </w:rPr>
            <w:instrText xml:space="preserve"> PAGE  \* Arabic  \* MERGEFORMAT </w:instrText>
          </w:r>
          <w:r>
            <w:rPr>
              <w:w w:val="103"/>
            </w:rPr>
            <w:fldChar w:fldCharType="separate"/>
          </w:r>
          <w:r w:rsidR="00965BB8">
            <w:rPr>
              <w:w w:val="103"/>
            </w:rPr>
            <w:t>3</w:t>
          </w:r>
          <w:r>
            <w:rPr>
              <w:w w:val="103"/>
            </w:rPr>
            <w:fldChar w:fldCharType="end"/>
          </w:r>
          <w:r w:rsidR="00053AE8">
            <w:rPr>
              <w:w w:val="103"/>
            </w:rPr>
            <w:t>/</w:t>
          </w:r>
          <w:fldSimple w:instr=" NUMPAGES  \* Arabic  \* MERGEFORMAT ">
            <w:r w:rsidR="00965BB8">
              <w:rPr>
                <w:w w:val="103"/>
              </w:rPr>
              <w:t>3</w:t>
            </w:r>
          </w:fldSimple>
        </w:p>
      </w:tc>
      <w:tc>
        <w:tcPr>
          <w:tcW w:w="4923" w:type="dxa"/>
          <w:shd w:val="clear" w:color="auto" w:fill="auto"/>
        </w:tcPr>
        <w:p w:rsidR="00053AE8" w:rsidRPr="00053AE8" w:rsidRDefault="00EF7123" w:rsidP="00053AE8">
          <w:pPr>
            <w:pStyle w:val="Altbilgi"/>
            <w:rPr>
              <w:b w:val="0"/>
              <w:w w:val="103"/>
              <w:sz w:val="14"/>
            </w:rPr>
          </w:pPr>
          <w:fldSimple w:instr=" DOCVARIABLE &quot;FooterJN&quot; \* MERGEFORMAT ">
            <w:r w:rsidR="008106EC">
              <w:rPr>
                <w:b w:val="0"/>
                <w:w w:val="103"/>
                <w:sz w:val="14"/>
              </w:rPr>
              <w:t>V.19-03642</w:t>
            </w:r>
          </w:fldSimple>
        </w:p>
      </w:tc>
    </w:tr>
  </w:tbl>
  <w:p w:rsidR="00053AE8" w:rsidRPr="00053AE8" w:rsidRDefault="00053AE8" w:rsidP="00053AE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859"/>
      <w:gridCol w:w="4923"/>
    </w:tblGrid>
    <w:tr w:rsidR="00053AE8" w:rsidTr="00053AE8">
      <w:tc>
        <w:tcPr>
          <w:tcW w:w="3859" w:type="dxa"/>
        </w:tcPr>
        <w:p w:rsidR="00053AE8" w:rsidRDefault="00053AE8" w:rsidP="00053AE8">
          <w:pPr>
            <w:pStyle w:val="ReleaseDate0"/>
          </w:pPr>
          <w:r>
            <w:rPr>
              <w:noProof/>
              <w:lang w:val="tr-TR" w:eastAsia="tr-TR"/>
            </w:rPr>
            <w:drawing>
              <wp:anchor distT="0" distB="0" distL="114300" distR="114300" simplePos="0" relativeHeight="251658240" behindDoc="0" locked="0" layoutInCell="1" allowOverlap="1">
                <wp:simplePos x="0" y="0"/>
                <wp:positionH relativeFrom="column">
                  <wp:posOffset>5511165</wp:posOffset>
                </wp:positionH>
                <wp:positionV relativeFrom="paragraph">
                  <wp:posOffset>-292100</wp:posOffset>
                </wp:positionV>
                <wp:extent cx="694690" cy="694690"/>
                <wp:effectExtent l="0" t="0" r="0" b="0"/>
                <wp:wrapNone/>
                <wp:docPr id="3" name="Picture 3" descr="http://undocs.org/m2/QRCode2.ashx?DS=E/CN.15/2019/L.12/Rev.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N.15/2019/L.12/Rev.1&amp;Size =1&amp;Lang = 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anchor>
            </w:drawing>
          </w:r>
          <w:r>
            <w:t>V.19-03642 (E)</w:t>
          </w:r>
        </w:p>
        <w:p w:rsidR="00053AE8" w:rsidRPr="00053AE8" w:rsidRDefault="00053AE8" w:rsidP="00053AE8">
          <w:pPr>
            <w:pStyle w:val="Altbilgi"/>
            <w:spacing w:before="120" w:line="210" w:lineRule="atLeast"/>
            <w:rPr>
              <w:rFonts w:ascii="Barcode 3 of 9 by request" w:hAnsi="Barcode 3 of 9 by request"/>
              <w:b w:val="0"/>
              <w:sz w:val="24"/>
              <w:lang w:val="en-GB"/>
            </w:rPr>
          </w:pPr>
          <w:r>
            <w:rPr>
              <w:rFonts w:ascii="Barcode 3 of 9 by request" w:hAnsi="Barcode 3 of 9 by request"/>
              <w:sz w:val="24"/>
              <w:lang w:val="en-GB"/>
            </w:rPr>
            <w:t>*1903642*</w:t>
          </w:r>
        </w:p>
      </w:tc>
      <w:tc>
        <w:tcPr>
          <w:tcW w:w="4923" w:type="dxa"/>
        </w:tcPr>
        <w:p w:rsidR="00053AE8" w:rsidRDefault="00053AE8" w:rsidP="00053AE8">
          <w:pPr>
            <w:pStyle w:val="Altbilgi"/>
            <w:jc w:val="right"/>
            <w:rPr>
              <w:b w:val="0"/>
              <w:sz w:val="20"/>
            </w:rPr>
          </w:pPr>
          <w:r>
            <w:rPr>
              <w:b w:val="0"/>
              <w:sz w:val="20"/>
              <w:lang w:val="tr-TR" w:eastAsia="tr-TR"/>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rsidR="00053AE8" w:rsidRPr="00053AE8" w:rsidRDefault="00053AE8" w:rsidP="00053AE8">
    <w:pPr>
      <w:pStyle w:val="Altbilgi"/>
      <w:spacing w:line="56"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5C" w:rsidRPr="00243664" w:rsidRDefault="006D5E5C" w:rsidP="00243664">
      <w:pPr>
        <w:pStyle w:val="Altbilgi"/>
        <w:spacing w:after="80"/>
        <w:ind w:left="792"/>
        <w:rPr>
          <w:sz w:val="16"/>
        </w:rPr>
      </w:pPr>
      <w:r w:rsidRPr="00243664">
        <w:rPr>
          <w:sz w:val="16"/>
        </w:rPr>
        <w:t>__________________</w:t>
      </w:r>
    </w:p>
  </w:footnote>
  <w:footnote w:type="continuationSeparator" w:id="1">
    <w:p w:rsidR="006D5E5C" w:rsidRPr="00243664" w:rsidRDefault="006D5E5C" w:rsidP="00243664">
      <w:pPr>
        <w:pStyle w:val="Altbilgi"/>
        <w:spacing w:after="80"/>
        <w:ind w:left="792"/>
        <w:rPr>
          <w:sz w:val="16"/>
        </w:rPr>
      </w:pPr>
      <w:r w:rsidRPr="00243664">
        <w:rPr>
          <w:sz w:val="16"/>
        </w:rPr>
        <w:t>__________________</w:t>
      </w:r>
    </w:p>
  </w:footnote>
  <w:footnote w:id="2">
    <w:p w:rsidR="00B0543A" w:rsidRPr="00B26CF4" w:rsidRDefault="00B0543A" w:rsidP="00B0543A">
      <w:pPr>
        <w:pStyle w:val="Default"/>
      </w:pPr>
      <w:r w:rsidRPr="00965BB8">
        <w:rPr>
          <w:rStyle w:val="DipnotBavurusu"/>
          <w:sz w:val="17"/>
          <w:szCs w:val="17"/>
        </w:rPr>
        <w:footnoteRef/>
      </w:r>
      <w:r w:rsidRPr="00965BB8">
        <w:rPr>
          <w:sz w:val="17"/>
          <w:szCs w:val="17"/>
        </w:rPr>
        <w:t xml:space="preserve"> </w:t>
      </w:r>
      <w:r w:rsidRPr="00B26CF4">
        <w:rPr>
          <w:sz w:val="17"/>
          <w:szCs w:val="17"/>
        </w:rPr>
        <w:t>Birleşmiş Milletler, Antlaşma Serisi</w:t>
      </w:r>
      <w:r>
        <w:rPr>
          <w:sz w:val="17"/>
          <w:szCs w:val="17"/>
        </w:rPr>
        <w:t xml:space="preserve">, cilt 2349, Nu. 42146. </w:t>
      </w:r>
    </w:p>
  </w:footnote>
  <w:footnote w:id="3">
    <w:p w:rsidR="00B0543A" w:rsidRPr="001D5E0E" w:rsidRDefault="00B0543A" w:rsidP="00B0543A">
      <w:pPr>
        <w:pStyle w:val="Default"/>
      </w:pPr>
      <w:r w:rsidRPr="00965BB8">
        <w:rPr>
          <w:rStyle w:val="DipnotBavurusu"/>
          <w:sz w:val="17"/>
          <w:szCs w:val="17"/>
        </w:rPr>
        <w:footnoteRef/>
      </w:r>
      <w:r>
        <w:t xml:space="preserve"> </w:t>
      </w:r>
      <w:r w:rsidRPr="00B0543A">
        <w:rPr>
          <w:sz w:val="17"/>
          <w:szCs w:val="17"/>
        </w:rPr>
        <w:t>Genel Kurul kararı</w:t>
      </w:r>
      <w:r>
        <w:t xml:space="preserve"> </w:t>
      </w:r>
      <w:r>
        <w:rPr>
          <w:sz w:val="17"/>
          <w:szCs w:val="17"/>
        </w:rPr>
        <w:t xml:space="preserve">217 A (III). </w:t>
      </w:r>
      <w:r>
        <w:t xml:space="preserve"> </w:t>
      </w:r>
    </w:p>
  </w:footnote>
  <w:footnote w:id="4">
    <w:p w:rsidR="00B0543A" w:rsidRPr="001D5E0E" w:rsidRDefault="00B0543A" w:rsidP="00B0543A">
      <w:pPr>
        <w:pStyle w:val="Default"/>
      </w:pPr>
      <w:r w:rsidRPr="00965BB8">
        <w:rPr>
          <w:rStyle w:val="DipnotBavurusu"/>
          <w:sz w:val="17"/>
          <w:szCs w:val="17"/>
        </w:rPr>
        <w:footnoteRef/>
      </w:r>
      <w:r>
        <w:t xml:space="preserve"> </w:t>
      </w:r>
      <w:r w:rsidRPr="00B0543A">
        <w:rPr>
          <w:sz w:val="17"/>
          <w:szCs w:val="17"/>
        </w:rPr>
        <w:t>Genel Kurul kararı</w:t>
      </w:r>
      <w:r>
        <w:rPr>
          <w:sz w:val="17"/>
          <w:szCs w:val="17"/>
        </w:rPr>
        <w:t xml:space="preserve"> 2200 A (XXI), ek. </w:t>
      </w:r>
      <w:r>
        <w:t xml:space="preserve"> </w:t>
      </w:r>
    </w:p>
  </w:footnote>
  <w:footnote w:id="5">
    <w:p w:rsidR="00B0543A" w:rsidRPr="0092438C" w:rsidRDefault="00C90C96" w:rsidP="00C90C96">
      <w:pPr>
        <w:pStyle w:val="DipnotMetni"/>
        <w:tabs>
          <w:tab w:val="clear" w:pos="418"/>
          <w:tab w:val="left" w:pos="-142"/>
          <w:tab w:val="left" w:pos="284"/>
          <w:tab w:val="left" w:pos="1276"/>
        </w:tabs>
        <w:ind w:left="0" w:hanging="191"/>
        <w:rPr>
          <w:lang w:val="tr-TR"/>
        </w:rPr>
      </w:pPr>
      <w:r>
        <w:tab/>
      </w:r>
      <w:r w:rsidRPr="0092438C">
        <w:tab/>
      </w:r>
      <w:r w:rsidR="00B0543A" w:rsidRPr="0092438C">
        <w:rPr>
          <w:rStyle w:val="DipnotBavurusu"/>
        </w:rPr>
        <w:footnoteRef/>
      </w:r>
      <w:r w:rsidR="00B0543A" w:rsidRPr="0092438C">
        <w:t xml:space="preserve"> </w:t>
      </w:r>
      <w:r w:rsidRPr="0092438C">
        <w:rPr>
          <w:i/>
          <w:iCs/>
          <w:szCs w:val="17"/>
        </w:rPr>
        <w:t>Birleşmiş Milletler Suçun Önlenmesi ve Suçluların Tedavisi 7. Kongresi</w:t>
      </w:r>
      <w:r w:rsidR="00B0543A" w:rsidRPr="0092438C">
        <w:rPr>
          <w:i/>
          <w:iCs/>
          <w:szCs w:val="17"/>
        </w:rPr>
        <w:t>, Milan</w:t>
      </w:r>
      <w:r w:rsidRPr="0092438C">
        <w:rPr>
          <w:i/>
          <w:iCs/>
          <w:szCs w:val="17"/>
        </w:rPr>
        <w:t>o</w:t>
      </w:r>
      <w:r w:rsidR="00B0543A" w:rsidRPr="0092438C">
        <w:rPr>
          <w:i/>
          <w:iCs/>
          <w:szCs w:val="17"/>
        </w:rPr>
        <w:t>, 26 A</w:t>
      </w:r>
      <w:r w:rsidRPr="0092438C">
        <w:rPr>
          <w:i/>
          <w:iCs/>
          <w:szCs w:val="17"/>
        </w:rPr>
        <w:t>ğustos</w:t>
      </w:r>
      <w:r w:rsidR="00B0543A" w:rsidRPr="0092438C">
        <w:rPr>
          <w:i/>
          <w:iCs/>
          <w:szCs w:val="17"/>
        </w:rPr>
        <w:t xml:space="preserve">–6 </w:t>
      </w:r>
      <w:r w:rsidRPr="0092438C">
        <w:rPr>
          <w:i/>
          <w:iCs/>
          <w:szCs w:val="17"/>
        </w:rPr>
        <w:t>Eylül</w:t>
      </w:r>
      <w:r w:rsidR="00B0543A" w:rsidRPr="0092438C">
        <w:rPr>
          <w:i/>
          <w:iCs/>
          <w:szCs w:val="17"/>
        </w:rPr>
        <w:t xml:space="preserve"> 1985: </w:t>
      </w:r>
      <w:r w:rsidRPr="0092438C">
        <w:rPr>
          <w:i/>
          <w:iCs/>
          <w:szCs w:val="17"/>
        </w:rPr>
        <w:t>Sekreterya’nın hazırladığı rapor</w:t>
      </w:r>
      <w:r w:rsidR="00B0543A" w:rsidRPr="0092438C">
        <w:rPr>
          <w:i/>
          <w:iCs/>
          <w:szCs w:val="17"/>
        </w:rPr>
        <w:t xml:space="preserve"> </w:t>
      </w:r>
      <w:r w:rsidR="00B0543A" w:rsidRPr="0092438C">
        <w:rPr>
          <w:szCs w:val="17"/>
        </w:rPr>
        <w:t>(</w:t>
      </w:r>
      <w:r w:rsidRPr="0092438C">
        <w:rPr>
          <w:szCs w:val="17"/>
        </w:rPr>
        <w:t>Birl</w:t>
      </w:r>
      <w:r w:rsidR="00711BF2" w:rsidRPr="0092438C">
        <w:rPr>
          <w:szCs w:val="17"/>
        </w:rPr>
        <w:t>eş</w:t>
      </w:r>
      <w:r w:rsidRPr="0092438C">
        <w:rPr>
          <w:szCs w:val="17"/>
        </w:rPr>
        <w:t>miş Millletler</w:t>
      </w:r>
      <w:r w:rsidR="00B0543A" w:rsidRPr="0092438C">
        <w:rPr>
          <w:szCs w:val="17"/>
        </w:rPr>
        <w:t xml:space="preserve"> </w:t>
      </w:r>
      <w:r w:rsidRPr="0092438C">
        <w:rPr>
          <w:szCs w:val="17"/>
        </w:rPr>
        <w:t>yayını</w:t>
      </w:r>
      <w:r w:rsidR="00B0543A" w:rsidRPr="0092438C">
        <w:rPr>
          <w:szCs w:val="17"/>
        </w:rPr>
        <w:t>, S</w:t>
      </w:r>
      <w:r w:rsidR="00711BF2" w:rsidRPr="0092438C">
        <w:rPr>
          <w:szCs w:val="17"/>
        </w:rPr>
        <w:t>a</w:t>
      </w:r>
      <w:r w:rsidRPr="0092438C">
        <w:rPr>
          <w:szCs w:val="17"/>
        </w:rPr>
        <w:t>tış</w:t>
      </w:r>
      <w:r w:rsidR="00B0543A" w:rsidRPr="0092438C">
        <w:rPr>
          <w:szCs w:val="17"/>
        </w:rPr>
        <w:t xml:space="preserve"> N</w:t>
      </w:r>
      <w:r w:rsidRPr="0092438C">
        <w:rPr>
          <w:szCs w:val="17"/>
        </w:rPr>
        <w:t>u</w:t>
      </w:r>
      <w:r w:rsidR="00B0543A" w:rsidRPr="0092438C">
        <w:rPr>
          <w:szCs w:val="17"/>
        </w:rPr>
        <w:t xml:space="preserve">. E.86.IV.1), </w:t>
      </w:r>
      <w:r w:rsidRPr="0092438C">
        <w:rPr>
          <w:szCs w:val="17"/>
        </w:rPr>
        <w:t>bölüm</w:t>
      </w:r>
      <w:r w:rsidR="00B0543A" w:rsidRPr="0092438C">
        <w:rPr>
          <w:szCs w:val="17"/>
        </w:rPr>
        <w:t xml:space="preserve">. I, </w:t>
      </w:r>
      <w:r w:rsidRPr="0092438C">
        <w:rPr>
          <w:szCs w:val="17"/>
        </w:rPr>
        <w:t>kısım</w:t>
      </w:r>
      <w:r w:rsidR="00B0543A" w:rsidRPr="0092438C">
        <w:rPr>
          <w:szCs w:val="17"/>
        </w:rPr>
        <w:t xml:space="preserve">. D.2, </w:t>
      </w:r>
      <w:r w:rsidRPr="0092438C">
        <w:rPr>
          <w:szCs w:val="17"/>
        </w:rPr>
        <w:t>ek</w:t>
      </w:r>
      <w:r w:rsidR="00B0543A" w:rsidRPr="0092438C">
        <w:rPr>
          <w:szCs w:val="17"/>
        </w:rPr>
        <w:t>.</w:t>
      </w:r>
    </w:p>
  </w:footnote>
  <w:footnote w:id="6">
    <w:p w:rsidR="00B0543A" w:rsidRPr="001D5E0E" w:rsidRDefault="00B0543A" w:rsidP="00B0543A">
      <w:pPr>
        <w:pStyle w:val="DipnotMetni"/>
        <w:rPr>
          <w:lang w:val="tr-TR"/>
        </w:rPr>
      </w:pPr>
      <w:r w:rsidRPr="0092438C">
        <w:rPr>
          <w:rStyle w:val="DipnotBavurusu"/>
        </w:rPr>
        <w:footnoteRef/>
      </w:r>
      <w:r w:rsidRPr="0092438C">
        <w:t xml:space="preserve"> </w:t>
      </w:r>
      <w:r w:rsidRPr="0092438C">
        <w:rPr>
          <w:szCs w:val="17"/>
        </w:rPr>
        <w:t>E/CN.4/2003/65, ek; ayrıca bkz. Ekonomik ve S</w:t>
      </w:r>
      <w:r w:rsidR="00711BF2" w:rsidRPr="0092438C">
        <w:rPr>
          <w:szCs w:val="17"/>
        </w:rPr>
        <w:t>o</w:t>
      </w:r>
      <w:r w:rsidRPr="0092438C">
        <w:rPr>
          <w:szCs w:val="17"/>
        </w:rPr>
        <w:t>syal Konsey kararı 2006/23, ek.</w:t>
      </w:r>
      <w:r>
        <w:rPr>
          <w:szCs w:val="17"/>
        </w:rPr>
        <w:t xml:space="preserve"> </w:t>
      </w:r>
      <w:r>
        <w:t xml:space="preserve"> </w:t>
      </w:r>
    </w:p>
  </w:footnote>
  <w:footnote w:id="7">
    <w:p w:rsidR="00B0543A" w:rsidRPr="002F6C4C" w:rsidRDefault="00B0543A" w:rsidP="00B0543A">
      <w:pPr>
        <w:pStyle w:val="DipnotMetni"/>
        <w:rPr>
          <w:lang w:val="tr-TR"/>
        </w:rPr>
      </w:pPr>
      <w:r>
        <w:rPr>
          <w:rStyle w:val="DipnotBavurusu"/>
        </w:rPr>
        <w:footnoteRef/>
      </w:r>
      <w:r>
        <w:rPr>
          <w:szCs w:val="17"/>
        </w:rPr>
        <w:t xml:space="preserve"> E/CN.15/2019/CRP.2.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00000"/>
      </w:tblBorders>
      <w:tblLayout w:type="fixed"/>
      <w:tblCellMar>
        <w:left w:w="0" w:type="dxa"/>
        <w:right w:w="0" w:type="dxa"/>
      </w:tblCellMar>
      <w:tblLook w:val="0000"/>
    </w:tblPr>
    <w:tblGrid>
      <w:gridCol w:w="4882"/>
      <w:gridCol w:w="4923"/>
    </w:tblGrid>
    <w:tr w:rsidR="00053AE8" w:rsidTr="00053AE8">
      <w:trPr>
        <w:trHeight w:hRule="exact" w:val="864"/>
        <w:jc w:val="center"/>
      </w:trPr>
      <w:tc>
        <w:tcPr>
          <w:tcW w:w="4882" w:type="dxa"/>
          <w:shd w:val="clear" w:color="auto" w:fill="auto"/>
          <w:vAlign w:val="bottom"/>
        </w:tcPr>
        <w:p w:rsidR="00053AE8" w:rsidRPr="00053AE8" w:rsidRDefault="00EF7123" w:rsidP="00053AE8">
          <w:pPr>
            <w:pStyle w:val="stbilgi"/>
            <w:spacing w:after="80"/>
            <w:rPr>
              <w:b/>
            </w:rPr>
          </w:pPr>
          <w:fldSimple w:instr=" DOCVARIABLE &quot;sss1&quot; \* MERGEFORMAT ">
            <w:r w:rsidR="008106EC">
              <w:rPr>
                <w:b/>
              </w:rPr>
              <w:t>E/CN.15/2019/L.12/Rev.1</w:t>
            </w:r>
          </w:fldSimple>
        </w:p>
      </w:tc>
      <w:tc>
        <w:tcPr>
          <w:tcW w:w="4923" w:type="dxa"/>
          <w:shd w:val="clear" w:color="auto" w:fill="auto"/>
          <w:vAlign w:val="bottom"/>
        </w:tcPr>
        <w:p w:rsidR="00053AE8" w:rsidRDefault="00053AE8" w:rsidP="00053AE8">
          <w:pPr>
            <w:pStyle w:val="stbilgi"/>
          </w:pPr>
        </w:p>
      </w:tc>
    </w:tr>
  </w:tbl>
  <w:p w:rsidR="00053AE8" w:rsidRPr="00053AE8" w:rsidRDefault="00053AE8" w:rsidP="00053AE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00000"/>
      </w:tblBorders>
      <w:tblLayout w:type="fixed"/>
      <w:tblCellMar>
        <w:left w:w="0" w:type="dxa"/>
        <w:right w:w="0" w:type="dxa"/>
      </w:tblCellMar>
      <w:tblLook w:val="0000"/>
    </w:tblPr>
    <w:tblGrid>
      <w:gridCol w:w="4882"/>
      <w:gridCol w:w="4923"/>
    </w:tblGrid>
    <w:tr w:rsidR="00053AE8" w:rsidTr="00053AE8">
      <w:trPr>
        <w:trHeight w:hRule="exact" w:val="864"/>
        <w:jc w:val="center"/>
      </w:trPr>
      <w:tc>
        <w:tcPr>
          <w:tcW w:w="4882" w:type="dxa"/>
          <w:shd w:val="clear" w:color="auto" w:fill="auto"/>
          <w:vAlign w:val="bottom"/>
        </w:tcPr>
        <w:p w:rsidR="00053AE8" w:rsidRDefault="00053AE8" w:rsidP="00053AE8">
          <w:pPr>
            <w:pStyle w:val="stbilgi"/>
          </w:pPr>
        </w:p>
      </w:tc>
      <w:tc>
        <w:tcPr>
          <w:tcW w:w="4923" w:type="dxa"/>
          <w:shd w:val="clear" w:color="auto" w:fill="auto"/>
          <w:vAlign w:val="bottom"/>
        </w:tcPr>
        <w:p w:rsidR="00053AE8" w:rsidRPr="00053AE8" w:rsidRDefault="00EF7123" w:rsidP="00053AE8">
          <w:pPr>
            <w:pStyle w:val="stbilgi"/>
            <w:spacing w:after="80"/>
            <w:jc w:val="right"/>
            <w:rPr>
              <w:b/>
            </w:rPr>
          </w:pPr>
          <w:fldSimple w:instr=" DOCVARIABLE &quot;sss1&quot; \* MERGEFORMAT ">
            <w:r w:rsidR="008106EC">
              <w:rPr>
                <w:b/>
              </w:rPr>
              <w:t>E/CN.15/2019/L.12/Rev.1</w:t>
            </w:r>
          </w:fldSimple>
        </w:p>
      </w:tc>
    </w:tr>
  </w:tbl>
  <w:p w:rsidR="00053AE8" w:rsidRPr="00053AE8" w:rsidRDefault="00053AE8" w:rsidP="00053AE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0" w:type="dxa"/>
      <w:tblLayout w:type="fixed"/>
      <w:tblCellMar>
        <w:left w:w="0" w:type="dxa"/>
        <w:right w:w="0" w:type="dxa"/>
      </w:tblCellMar>
      <w:tblLook w:val="0000"/>
    </w:tblPr>
    <w:tblGrid>
      <w:gridCol w:w="1267"/>
      <w:gridCol w:w="1872"/>
      <w:gridCol w:w="245"/>
      <w:gridCol w:w="3110"/>
      <w:gridCol w:w="245"/>
      <w:gridCol w:w="3100"/>
      <w:gridCol w:w="11"/>
    </w:tblGrid>
    <w:tr w:rsidR="00053AE8" w:rsidTr="00053AE8">
      <w:trPr>
        <w:trHeight w:hRule="exact" w:val="864"/>
      </w:trPr>
      <w:tc>
        <w:tcPr>
          <w:tcW w:w="1267" w:type="dxa"/>
          <w:tcBorders>
            <w:bottom w:val="single" w:sz="4" w:space="0" w:color="auto"/>
          </w:tcBorders>
          <w:shd w:val="clear" w:color="auto" w:fill="auto"/>
          <w:vAlign w:val="bottom"/>
        </w:tcPr>
        <w:p w:rsidR="00053AE8" w:rsidRDefault="00053AE8" w:rsidP="00053AE8">
          <w:pPr>
            <w:pStyle w:val="stbilgi"/>
            <w:spacing w:after="120"/>
          </w:pPr>
        </w:p>
      </w:tc>
      <w:tc>
        <w:tcPr>
          <w:tcW w:w="1872" w:type="dxa"/>
          <w:tcBorders>
            <w:bottom w:val="single" w:sz="4" w:space="0" w:color="auto"/>
          </w:tcBorders>
          <w:shd w:val="clear" w:color="auto" w:fill="auto"/>
          <w:vAlign w:val="bottom"/>
        </w:tcPr>
        <w:p w:rsidR="00053AE8" w:rsidRPr="00053AE8" w:rsidRDefault="00B0543A" w:rsidP="00B0543A">
          <w:pPr>
            <w:pStyle w:val="HCh"/>
            <w:spacing w:after="80"/>
            <w:rPr>
              <w:b w:val="0"/>
              <w:spacing w:val="2"/>
              <w:w w:val="96"/>
            </w:rPr>
          </w:pPr>
          <w:r w:rsidRPr="00B0543A">
            <w:rPr>
              <w:b w:val="0"/>
              <w:spacing w:val="2"/>
              <w:w w:val="96"/>
              <w:sz w:val="24"/>
            </w:rPr>
            <w:t>Birleşmiş Milletler</w:t>
          </w:r>
        </w:p>
      </w:tc>
      <w:tc>
        <w:tcPr>
          <w:tcW w:w="245" w:type="dxa"/>
          <w:tcBorders>
            <w:bottom w:val="single" w:sz="4" w:space="0" w:color="auto"/>
          </w:tcBorders>
          <w:shd w:val="clear" w:color="auto" w:fill="auto"/>
          <w:vAlign w:val="bottom"/>
        </w:tcPr>
        <w:p w:rsidR="00053AE8" w:rsidRDefault="00053AE8" w:rsidP="00053AE8">
          <w:pPr>
            <w:pStyle w:val="stbilgi"/>
            <w:spacing w:after="120"/>
          </w:pPr>
        </w:p>
      </w:tc>
      <w:tc>
        <w:tcPr>
          <w:tcW w:w="6466" w:type="dxa"/>
          <w:gridSpan w:val="4"/>
          <w:tcBorders>
            <w:bottom w:val="single" w:sz="4" w:space="0" w:color="auto"/>
          </w:tcBorders>
          <w:shd w:val="clear" w:color="auto" w:fill="auto"/>
          <w:vAlign w:val="bottom"/>
        </w:tcPr>
        <w:p w:rsidR="00053AE8" w:rsidRPr="00053AE8" w:rsidRDefault="00053AE8" w:rsidP="00053AE8">
          <w:pPr>
            <w:spacing w:after="80" w:line="240" w:lineRule="auto"/>
            <w:jc w:val="right"/>
            <w:rPr>
              <w:position w:val="-4"/>
            </w:rPr>
          </w:pPr>
          <w:r>
            <w:rPr>
              <w:position w:val="-4"/>
              <w:sz w:val="40"/>
            </w:rPr>
            <w:t>E</w:t>
          </w:r>
          <w:r>
            <w:rPr>
              <w:position w:val="-4"/>
            </w:rPr>
            <w:t>/CN.15/2019/L.12/Rev.1</w:t>
          </w:r>
        </w:p>
      </w:tc>
    </w:tr>
    <w:tr w:rsidR="00053AE8" w:rsidRPr="00053AE8" w:rsidTr="00B0543A">
      <w:trPr>
        <w:gridAfter w:val="1"/>
        <w:wAfter w:w="11" w:type="dxa"/>
        <w:trHeight w:hRule="exact" w:val="2271"/>
      </w:trPr>
      <w:tc>
        <w:tcPr>
          <w:tcW w:w="1267" w:type="dxa"/>
          <w:tcBorders>
            <w:top w:val="single" w:sz="4" w:space="0" w:color="auto"/>
            <w:bottom w:val="single" w:sz="12" w:space="0" w:color="auto"/>
          </w:tcBorders>
          <w:shd w:val="clear" w:color="auto" w:fill="auto"/>
        </w:tcPr>
        <w:p w:rsidR="00053AE8" w:rsidRPr="00053AE8" w:rsidRDefault="00053AE8" w:rsidP="00053AE8">
          <w:pPr>
            <w:pStyle w:val="stbilgi"/>
            <w:spacing w:before="120"/>
            <w:jc w:val="center"/>
          </w:pPr>
          <w:r>
            <w:rPr>
              <w:lang w:val="tr-TR" w:eastAsia="tr-TR"/>
            </w:rPr>
            <w:drawing>
              <wp:inline distT="0" distB="0" distL="0" distR="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53AE8" w:rsidRPr="00053AE8" w:rsidRDefault="00053AE8" w:rsidP="00B0543A">
          <w:pPr>
            <w:pStyle w:val="XLarge"/>
            <w:spacing w:before="109" w:line="390" w:lineRule="atLeast"/>
          </w:pPr>
          <w:r>
            <w:t>E</w:t>
          </w:r>
          <w:r w:rsidR="00B0543A">
            <w:t>konomik ve Sosyal Konsey</w:t>
          </w:r>
        </w:p>
      </w:tc>
      <w:tc>
        <w:tcPr>
          <w:tcW w:w="245" w:type="dxa"/>
          <w:tcBorders>
            <w:top w:val="single" w:sz="4" w:space="0" w:color="auto"/>
            <w:bottom w:val="single" w:sz="12" w:space="0" w:color="auto"/>
          </w:tcBorders>
          <w:shd w:val="clear" w:color="auto" w:fill="auto"/>
        </w:tcPr>
        <w:p w:rsidR="00053AE8" w:rsidRPr="00053AE8" w:rsidRDefault="00053AE8" w:rsidP="00053AE8">
          <w:pPr>
            <w:pStyle w:val="stbilgi"/>
            <w:spacing w:before="109"/>
            <w:rPr>
              <w:noProof w:val="0"/>
            </w:rPr>
          </w:pPr>
        </w:p>
      </w:tc>
      <w:tc>
        <w:tcPr>
          <w:tcW w:w="3100" w:type="dxa"/>
          <w:tcBorders>
            <w:top w:val="single" w:sz="4" w:space="0" w:color="auto"/>
            <w:bottom w:val="single" w:sz="12" w:space="0" w:color="auto"/>
          </w:tcBorders>
          <w:shd w:val="clear" w:color="auto" w:fill="auto"/>
        </w:tcPr>
        <w:p w:rsidR="00053AE8" w:rsidRPr="00B0543A" w:rsidRDefault="00053AE8" w:rsidP="00053AE8">
          <w:pPr>
            <w:pStyle w:val="Distribution"/>
            <w:rPr>
              <w:color w:val="010000"/>
              <w:lang w:val="tr-TR"/>
            </w:rPr>
          </w:pPr>
          <w:r w:rsidRPr="00B0543A">
            <w:rPr>
              <w:color w:val="010000"/>
              <w:lang w:val="tr-TR"/>
            </w:rPr>
            <w:t>D</w:t>
          </w:r>
          <w:r w:rsidR="00B0543A" w:rsidRPr="00B0543A">
            <w:rPr>
              <w:color w:val="010000"/>
              <w:lang w:val="tr-TR"/>
            </w:rPr>
            <w:t>ağıtım</w:t>
          </w:r>
          <w:r w:rsidRPr="00B0543A">
            <w:rPr>
              <w:color w:val="010000"/>
              <w:lang w:val="tr-TR"/>
            </w:rPr>
            <w:t xml:space="preserve">: </w:t>
          </w:r>
          <w:r w:rsidR="00B0543A" w:rsidRPr="00B0543A">
            <w:rPr>
              <w:color w:val="010000"/>
              <w:lang w:val="tr-TR"/>
            </w:rPr>
            <w:t>Sınırlı</w:t>
          </w:r>
        </w:p>
        <w:p w:rsidR="00053AE8" w:rsidRPr="00B0543A" w:rsidRDefault="00053AE8" w:rsidP="00053AE8">
          <w:pPr>
            <w:pStyle w:val="Publication"/>
            <w:rPr>
              <w:color w:val="010000"/>
              <w:lang w:val="tr-TR"/>
            </w:rPr>
          </w:pPr>
          <w:r w:rsidRPr="00B0543A">
            <w:rPr>
              <w:color w:val="010000"/>
              <w:lang w:val="tr-TR"/>
            </w:rPr>
            <w:t>23 May</w:t>
          </w:r>
          <w:r w:rsidR="00B0543A" w:rsidRPr="00B0543A">
            <w:rPr>
              <w:color w:val="010000"/>
              <w:lang w:val="tr-TR"/>
            </w:rPr>
            <w:t>ıs</w:t>
          </w:r>
          <w:r w:rsidRPr="00B0543A">
            <w:rPr>
              <w:color w:val="010000"/>
              <w:lang w:val="tr-TR"/>
            </w:rPr>
            <w:t xml:space="preserve"> 2019</w:t>
          </w:r>
        </w:p>
        <w:p w:rsidR="00053AE8" w:rsidRPr="00B0543A" w:rsidRDefault="00053AE8" w:rsidP="00053AE8">
          <w:pPr>
            <w:rPr>
              <w:lang w:val="tr-TR"/>
            </w:rPr>
          </w:pPr>
        </w:p>
        <w:p w:rsidR="00053AE8" w:rsidRPr="00B0543A" w:rsidRDefault="00B0543A" w:rsidP="00053AE8">
          <w:pPr>
            <w:pStyle w:val="Original"/>
            <w:rPr>
              <w:color w:val="010000"/>
              <w:lang w:val="tr-TR"/>
            </w:rPr>
          </w:pPr>
          <w:r w:rsidRPr="00B0543A">
            <w:rPr>
              <w:color w:val="010000"/>
              <w:lang w:val="tr-TR"/>
            </w:rPr>
            <w:t>Orijinal</w:t>
          </w:r>
          <w:r w:rsidR="00053AE8" w:rsidRPr="00B0543A">
            <w:rPr>
              <w:color w:val="010000"/>
              <w:lang w:val="tr-TR"/>
            </w:rPr>
            <w:t xml:space="preserve">: </w:t>
          </w:r>
          <w:r w:rsidRPr="00B0543A">
            <w:rPr>
              <w:color w:val="010000"/>
              <w:lang w:val="tr-TR"/>
            </w:rPr>
            <w:t>İngilizce</w:t>
          </w:r>
        </w:p>
        <w:p w:rsidR="00053AE8" w:rsidRPr="00053AE8" w:rsidRDefault="00053AE8" w:rsidP="00053AE8"/>
      </w:tc>
    </w:tr>
  </w:tbl>
  <w:p w:rsidR="00053AE8" w:rsidRPr="00053AE8" w:rsidRDefault="00053AE8" w:rsidP="00053AE8">
    <w:pPr>
      <w:pStyle w:val="stbilgi"/>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4B2B"/>
    <w:multiLevelType w:val="hybridMultilevel"/>
    <w:tmpl w:val="5590F26C"/>
    <w:lvl w:ilvl="0" w:tplc="B09C01C2">
      <w:start w:val="1"/>
      <w:numFmt w:val="decimal"/>
      <w:lvlText w:val="%1."/>
      <w:lvlJc w:val="left"/>
      <w:pPr>
        <w:ind w:left="2781" w:hanging="360"/>
      </w:pPr>
      <w:rPr>
        <w:rFonts w:hint="default"/>
        <w:b w:val="0"/>
      </w:rPr>
    </w:lvl>
    <w:lvl w:ilvl="1" w:tplc="041F0019">
      <w:start w:val="1"/>
      <w:numFmt w:val="lowerLetter"/>
      <w:lvlText w:val="%2."/>
      <w:lvlJc w:val="left"/>
      <w:pPr>
        <w:ind w:left="3501" w:hanging="360"/>
      </w:pPr>
    </w:lvl>
    <w:lvl w:ilvl="2" w:tplc="041F001B" w:tentative="1">
      <w:start w:val="1"/>
      <w:numFmt w:val="lowerRoman"/>
      <w:lvlText w:val="%3."/>
      <w:lvlJc w:val="right"/>
      <w:pPr>
        <w:ind w:left="4221" w:hanging="180"/>
      </w:pPr>
    </w:lvl>
    <w:lvl w:ilvl="3" w:tplc="041F000F" w:tentative="1">
      <w:start w:val="1"/>
      <w:numFmt w:val="decimal"/>
      <w:lvlText w:val="%4."/>
      <w:lvlJc w:val="left"/>
      <w:pPr>
        <w:ind w:left="4941" w:hanging="360"/>
      </w:pPr>
    </w:lvl>
    <w:lvl w:ilvl="4" w:tplc="041F0019" w:tentative="1">
      <w:start w:val="1"/>
      <w:numFmt w:val="lowerLetter"/>
      <w:lvlText w:val="%5."/>
      <w:lvlJc w:val="left"/>
      <w:pPr>
        <w:ind w:left="5661" w:hanging="360"/>
      </w:pPr>
    </w:lvl>
    <w:lvl w:ilvl="5" w:tplc="041F001B" w:tentative="1">
      <w:start w:val="1"/>
      <w:numFmt w:val="lowerRoman"/>
      <w:lvlText w:val="%6."/>
      <w:lvlJc w:val="right"/>
      <w:pPr>
        <w:ind w:left="6381" w:hanging="180"/>
      </w:pPr>
    </w:lvl>
    <w:lvl w:ilvl="6" w:tplc="041F000F" w:tentative="1">
      <w:start w:val="1"/>
      <w:numFmt w:val="decimal"/>
      <w:lvlText w:val="%7."/>
      <w:lvlJc w:val="left"/>
      <w:pPr>
        <w:ind w:left="7101" w:hanging="360"/>
      </w:pPr>
    </w:lvl>
    <w:lvl w:ilvl="7" w:tplc="041F0019" w:tentative="1">
      <w:start w:val="1"/>
      <w:numFmt w:val="lowerLetter"/>
      <w:lvlText w:val="%8."/>
      <w:lvlJc w:val="left"/>
      <w:pPr>
        <w:ind w:left="7821" w:hanging="360"/>
      </w:pPr>
    </w:lvl>
    <w:lvl w:ilvl="8" w:tplc="041F001B" w:tentative="1">
      <w:start w:val="1"/>
      <w:numFmt w:val="lowerRoman"/>
      <w:lvlText w:val="%9."/>
      <w:lvlJc w:val="right"/>
      <w:pPr>
        <w:ind w:left="8541" w:hanging="180"/>
      </w:pPr>
    </w:lvl>
  </w:abstractNum>
  <w:abstractNum w:abstractNumId="1">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6">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5"/>
  </w:num>
  <w:num w:numId="6">
    <w:abstractNumId w:val="1"/>
  </w:num>
  <w:num w:numId="7">
    <w:abstractNumId w:val="4"/>
  </w:num>
  <w:num w:numId="8">
    <w:abstractNumId w:val="3"/>
  </w:num>
  <w:num w:numId="9">
    <w:abstractNumId w:val="5"/>
  </w:num>
  <w:num w:numId="10">
    <w:abstractNumId w:val="1"/>
  </w:num>
  <w:num w:numId="11">
    <w:abstractNumId w:val="4"/>
  </w:num>
  <w:num w:numId="12">
    <w:abstractNumId w:val="3"/>
  </w:num>
  <w:num w:numId="13">
    <w:abstractNumId w:val="5"/>
  </w:num>
  <w:num w:numId="14">
    <w:abstractNumId w:val="1"/>
  </w:num>
  <w:num w:numId="15">
    <w:abstractNumId w:val="4"/>
  </w:num>
  <w:num w:numId="16">
    <w:abstractNumId w:val="3"/>
  </w:num>
  <w:num w:numId="17">
    <w:abstractNumId w:val="5"/>
  </w:num>
  <w:num w:numId="18">
    <w:abstractNumId w:val="1"/>
  </w:num>
  <w:num w:numId="19">
    <w:abstractNumId w:val="4"/>
  </w:num>
  <w:num w:numId="20">
    <w:abstractNumId w:val="3"/>
  </w:num>
  <w:num w:numId="21">
    <w:abstractNumId w:val="5"/>
  </w:num>
  <w:num w:numId="22">
    <w:abstractNumId w:val="1"/>
  </w:num>
  <w:num w:numId="23">
    <w:abstractNumId w:val="4"/>
  </w:num>
  <w:num w:numId="24">
    <w:abstractNumId w:val="3"/>
  </w:num>
  <w:num w:numId="25">
    <w:abstractNumId w:val="6"/>
  </w:num>
  <w:num w:numId="26">
    <w:abstractNumId w:val="2"/>
  </w:num>
  <w:num w:numId="27">
    <w:abstractNumId w:val="6"/>
  </w:num>
  <w:num w:numId="28">
    <w:abstractNumId w:val="2"/>
  </w:num>
  <w:num w:numId="29">
    <w:abstractNumId w:val="6"/>
  </w:num>
  <w:num w:numId="30">
    <w:abstractNumId w:val="2"/>
  </w:num>
  <w:num w:numId="31">
    <w:abstractNumId w:val="6"/>
  </w:num>
  <w:num w:numId="32">
    <w:abstractNumId w:val="2"/>
  </w:num>
  <w:num w:numId="33">
    <w:abstractNumId w:val="6"/>
  </w:num>
  <w:num w:numId="34">
    <w:abstractNumId w:val="2"/>
  </w:num>
  <w:num w:numId="35">
    <w:abstractNumId w:val="6"/>
  </w:num>
  <w:num w:numId="36">
    <w:abstractNumId w:val="2"/>
  </w:num>
  <w:num w:numId="37">
    <w:abstractNumId w:val="6"/>
  </w:num>
  <w:num w:numId="38">
    <w:abstractNumId w:val="2"/>
  </w:num>
  <w:num w:numId="39">
    <w:abstractNumId w:val="6"/>
  </w:num>
  <w:num w:numId="40">
    <w:abstractNumId w:val="2"/>
  </w:num>
  <w:num w:numId="41">
    <w:abstractNumId w:val="6"/>
  </w:num>
  <w:num w:numId="42">
    <w:abstractNumId w:val="2"/>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75"/>
  <w:hyphenationZone w:val="20"/>
  <w:doNotHyphenateCaps/>
  <w:evenAndOddHeaders/>
  <w:characterSpacingControl w:val="doNotCompress"/>
  <w:hdrShapeDefaults>
    <o:shapedefaults v:ext="edit" spidmax="22530"/>
  </w:hdrShapeDefaults>
  <w:footnotePr>
    <w:footnote w:id="0"/>
    <w:footnote w:id="1"/>
  </w:footnotePr>
  <w:endnotePr>
    <w:pos w:val="sectEnd"/>
    <w:numFmt w:val="decimal"/>
    <w:endnote w:id="0"/>
    <w:endnote w:id="1"/>
  </w:endnotePr>
  <w:compat>
    <w:suppressBottomSpacing/>
    <w:suppressTopSpacing/>
    <w:useFELayout/>
  </w:compat>
  <w:docVars>
    <w:docVar w:name="Barcode" w:val="*1903642*"/>
    <w:docVar w:name="CreationDt" w:val="23/05/2019 17:57:22"/>
    <w:docVar w:name="DocCategory" w:val="Doc"/>
    <w:docVar w:name="DocType" w:val="Final"/>
    <w:docVar w:name="DutyStation" w:val="Vienna"/>
    <w:docVar w:name="FooterJN" w:val="V.19-03642"/>
    <w:docVar w:name="jobn" w:val="V.19-03642 (E)"/>
    <w:docVar w:name="jobnDT" w:val="V.19-03642 (E)   230519"/>
    <w:docVar w:name="jobnDTDT" w:val="V.19-03642 (E)   230519   230519"/>
    <w:docVar w:name="JobNo" w:val="V.1903642E"/>
    <w:docVar w:name="JobNo2" w:val="1903642E"/>
    <w:docVar w:name="LocalDrive" w:val="0"/>
    <w:docVar w:name="OandT" w:val="MJL"/>
    <w:docVar w:name="sss1" w:val="E/CN.15/2019/L.12/Rev.1"/>
    <w:docVar w:name="sss2" w:val="-"/>
    <w:docVar w:name="Symbol1" w:val="E/CN.15/2019/L.12/Rev.1"/>
    <w:docVar w:name="Symbol2" w:val="-"/>
  </w:docVars>
  <w:rsids>
    <w:rsidRoot w:val="0047126D"/>
    <w:rsid w:val="0001325F"/>
    <w:rsid w:val="00017FCF"/>
    <w:rsid w:val="00024D1E"/>
    <w:rsid w:val="00053AE8"/>
    <w:rsid w:val="000870F3"/>
    <w:rsid w:val="000B3288"/>
    <w:rsid w:val="000B3EBE"/>
    <w:rsid w:val="000C4C9C"/>
    <w:rsid w:val="001613FC"/>
    <w:rsid w:val="001A207A"/>
    <w:rsid w:val="001D79B0"/>
    <w:rsid w:val="002007C7"/>
    <w:rsid w:val="00200F9C"/>
    <w:rsid w:val="00214645"/>
    <w:rsid w:val="00243664"/>
    <w:rsid w:val="002706A2"/>
    <w:rsid w:val="002E09A8"/>
    <w:rsid w:val="00346E64"/>
    <w:rsid w:val="00356317"/>
    <w:rsid w:val="00371A3B"/>
    <w:rsid w:val="003D159A"/>
    <w:rsid w:val="003E3B08"/>
    <w:rsid w:val="003E5D8C"/>
    <w:rsid w:val="003E723B"/>
    <w:rsid w:val="004173AF"/>
    <w:rsid w:val="0044179B"/>
    <w:rsid w:val="0047126D"/>
    <w:rsid w:val="00471D4D"/>
    <w:rsid w:val="004856CD"/>
    <w:rsid w:val="004B0B18"/>
    <w:rsid w:val="004B4C46"/>
    <w:rsid w:val="004D17DB"/>
    <w:rsid w:val="00525648"/>
    <w:rsid w:val="00556720"/>
    <w:rsid w:val="005700FE"/>
    <w:rsid w:val="00576987"/>
    <w:rsid w:val="005C49C8"/>
    <w:rsid w:val="005D4DFC"/>
    <w:rsid w:val="005E6D2E"/>
    <w:rsid w:val="005F2F1C"/>
    <w:rsid w:val="00612565"/>
    <w:rsid w:val="006137E4"/>
    <w:rsid w:val="00627EEF"/>
    <w:rsid w:val="00674235"/>
    <w:rsid w:val="006747C3"/>
    <w:rsid w:val="006D5E5C"/>
    <w:rsid w:val="00707CAD"/>
    <w:rsid w:val="00711BF2"/>
    <w:rsid w:val="007558D1"/>
    <w:rsid w:val="00764DD9"/>
    <w:rsid w:val="00777887"/>
    <w:rsid w:val="007A3A1D"/>
    <w:rsid w:val="007A620C"/>
    <w:rsid w:val="007E61B5"/>
    <w:rsid w:val="007F1EE6"/>
    <w:rsid w:val="008036A5"/>
    <w:rsid w:val="008106EC"/>
    <w:rsid w:val="008307DB"/>
    <w:rsid w:val="00846D29"/>
    <w:rsid w:val="00851647"/>
    <w:rsid w:val="00855FFA"/>
    <w:rsid w:val="008723C3"/>
    <w:rsid w:val="008A156F"/>
    <w:rsid w:val="008A24E1"/>
    <w:rsid w:val="008F1C5D"/>
    <w:rsid w:val="0092438C"/>
    <w:rsid w:val="00943E99"/>
    <w:rsid w:val="00965BB8"/>
    <w:rsid w:val="00977B13"/>
    <w:rsid w:val="009E1969"/>
    <w:rsid w:val="00A20AC0"/>
    <w:rsid w:val="00A93A73"/>
    <w:rsid w:val="00AA2E74"/>
    <w:rsid w:val="00AC617F"/>
    <w:rsid w:val="00B0543A"/>
    <w:rsid w:val="00B27E2C"/>
    <w:rsid w:val="00B40842"/>
    <w:rsid w:val="00BB5C7D"/>
    <w:rsid w:val="00BF5B27"/>
    <w:rsid w:val="00BF6BE0"/>
    <w:rsid w:val="00C779E4"/>
    <w:rsid w:val="00C90C96"/>
    <w:rsid w:val="00CD4AC4"/>
    <w:rsid w:val="00D526E8"/>
    <w:rsid w:val="00DC7B16"/>
    <w:rsid w:val="00DE5B12"/>
    <w:rsid w:val="00E870C2"/>
    <w:rsid w:val="00ED375A"/>
    <w:rsid w:val="00ED42F5"/>
    <w:rsid w:val="00EF7123"/>
    <w:rsid w:val="00F007E8"/>
    <w:rsid w:val="00F27BF6"/>
    <w:rsid w:val="00F30184"/>
    <w:rsid w:val="00F5593E"/>
    <w:rsid w:val="00F8600E"/>
    <w:rsid w:val="00F94BC6"/>
    <w:rsid w:val="00FC317A"/>
    <w:rsid w:val="00FC4389"/>
    <w:rsid w:val="00FC49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1D"/>
    <w:pPr>
      <w:suppressAutoHyphens/>
      <w:spacing w:after="0" w:line="240" w:lineRule="atLeast"/>
    </w:pPr>
    <w:rPr>
      <w:rFonts w:ascii="Times New Roman" w:eastAsiaTheme="minorHAnsi" w:hAnsi="Times New Roman" w:cs="Times New Roman"/>
      <w:spacing w:val="4"/>
      <w:w w:val="103"/>
      <w:kern w:val="14"/>
      <w:sz w:val="20"/>
      <w:szCs w:val="20"/>
      <w:lang w:eastAsia="en-US"/>
    </w:rPr>
  </w:style>
  <w:style w:type="paragraph" w:styleId="Balk1">
    <w:name w:val="heading 1"/>
    <w:basedOn w:val="Normal"/>
    <w:next w:val="Normal"/>
    <w:link w:val="Balk1Char"/>
    <w:uiPriority w:val="9"/>
    <w:qFormat/>
    <w:rsid w:val="00FC49F5"/>
    <w:pPr>
      <w:keepNext/>
      <w:spacing w:before="240" w:after="60"/>
      <w:outlineLvl w:val="0"/>
    </w:pPr>
    <w:rPr>
      <w:rFonts w:ascii="Arial" w:eastAsia="Times New Roman" w:hAnsi="Arial"/>
      <w:b/>
      <w:bCs/>
      <w:kern w:val="32"/>
      <w:sz w:val="32"/>
      <w:szCs w:val="28"/>
    </w:rPr>
  </w:style>
  <w:style w:type="paragraph" w:styleId="Balk2">
    <w:name w:val="heading 2"/>
    <w:basedOn w:val="Normal"/>
    <w:next w:val="Normal"/>
    <w:link w:val="Balk2Char"/>
    <w:uiPriority w:val="9"/>
    <w:qFormat/>
    <w:rsid w:val="00FC49F5"/>
    <w:pPr>
      <w:keepNext/>
      <w:spacing w:before="240" w:after="60"/>
      <w:outlineLvl w:val="1"/>
    </w:pPr>
    <w:rPr>
      <w:rFonts w:ascii="Arial" w:eastAsia="Times New Roman" w:hAnsi="Arial"/>
      <w:b/>
      <w:bCs/>
      <w:i/>
      <w:sz w:val="28"/>
      <w:szCs w:val="26"/>
    </w:rPr>
  </w:style>
  <w:style w:type="paragraph" w:styleId="Balk3">
    <w:name w:val="heading 3"/>
    <w:basedOn w:val="Normal"/>
    <w:next w:val="Normal"/>
    <w:link w:val="Balk3Char"/>
    <w:uiPriority w:val="9"/>
    <w:qFormat/>
    <w:rsid w:val="00FC49F5"/>
    <w:pPr>
      <w:keepNext/>
      <w:spacing w:before="240" w:after="60"/>
      <w:outlineLvl w:val="2"/>
    </w:pPr>
    <w:rPr>
      <w:rFonts w:ascii="Arial" w:eastAsia="Times New Roman" w:hAnsi="Arial"/>
      <w:b/>
      <w:bCs/>
      <w:sz w:val="26"/>
    </w:rPr>
  </w:style>
  <w:style w:type="paragraph" w:styleId="Balk4">
    <w:name w:val="heading 4"/>
    <w:basedOn w:val="Normal"/>
    <w:next w:val="Normal"/>
    <w:link w:val="Balk4Char"/>
    <w:uiPriority w:val="9"/>
    <w:semiHidden/>
    <w:unhideWhenUsed/>
    <w:qFormat/>
    <w:rsid w:val="00FC49F5"/>
    <w:pPr>
      <w:spacing w:before="200"/>
      <w:outlineLvl w:val="3"/>
    </w:pPr>
    <w:rPr>
      <w:rFonts w:ascii="Cambria" w:eastAsia="Times New Roman" w:hAnsi="Cambria"/>
      <w:b/>
      <w:bCs/>
      <w:i/>
      <w:iCs/>
    </w:rPr>
  </w:style>
  <w:style w:type="paragraph" w:styleId="Balk5">
    <w:name w:val="heading 5"/>
    <w:basedOn w:val="Normal"/>
    <w:next w:val="Normal"/>
    <w:link w:val="Balk5Char"/>
    <w:uiPriority w:val="9"/>
    <w:semiHidden/>
    <w:unhideWhenUsed/>
    <w:qFormat/>
    <w:rsid w:val="00FC49F5"/>
    <w:pPr>
      <w:spacing w:before="200"/>
      <w:outlineLvl w:val="4"/>
    </w:pPr>
    <w:rPr>
      <w:rFonts w:ascii="Cambria" w:eastAsia="Times New Roman" w:hAnsi="Cambria"/>
      <w:b/>
      <w:bCs/>
      <w:color w:val="7F7F7F"/>
    </w:rPr>
  </w:style>
  <w:style w:type="paragraph" w:styleId="Balk6">
    <w:name w:val="heading 6"/>
    <w:basedOn w:val="Normal"/>
    <w:next w:val="Normal"/>
    <w:link w:val="Balk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Balk7">
    <w:name w:val="heading 7"/>
    <w:basedOn w:val="Normal"/>
    <w:next w:val="Normal"/>
    <w:link w:val="Balk7Char"/>
    <w:uiPriority w:val="9"/>
    <w:semiHidden/>
    <w:unhideWhenUsed/>
    <w:qFormat/>
    <w:rsid w:val="00FC49F5"/>
    <w:pPr>
      <w:outlineLvl w:val="6"/>
    </w:pPr>
    <w:rPr>
      <w:rFonts w:ascii="Cambria" w:eastAsia="Times New Roman" w:hAnsi="Cambria"/>
      <w:i/>
      <w:iCs/>
    </w:rPr>
  </w:style>
  <w:style w:type="paragraph" w:styleId="Balk8">
    <w:name w:val="heading 8"/>
    <w:basedOn w:val="Normal"/>
    <w:next w:val="Normal"/>
    <w:link w:val="Balk8Char"/>
    <w:uiPriority w:val="9"/>
    <w:semiHidden/>
    <w:unhideWhenUsed/>
    <w:qFormat/>
    <w:rsid w:val="00FC49F5"/>
    <w:pPr>
      <w:outlineLvl w:val="7"/>
    </w:pPr>
    <w:rPr>
      <w:rFonts w:ascii="Cambria" w:eastAsia="Times New Roman" w:hAnsi="Cambria"/>
    </w:rPr>
  </w:style>
  <w:style w:type="paragraph" w:styleId="Balk9">
    <w:name w:val="heading 9"/>
    <w:basedOn w:val="Normal"/>
    <w:next w:val="Normal"/>
    <w:link w:val="Balk9Char"/>
    <w:uiPriority w:val="9"/>
    <w:semiHidden/>
    <w:unhideWhenUsed/>
    <w:qFormat/>
    <w:rsid w:val="00FC49F5"/>
    <w:pPr>
      <w:outlineLvl w:val="8"/>
    </w:pPr>
    <w:rPr>
      <w:rFonts w:ascii="Cambria" w:eastAsia="Times New Roman" w:hAnsi="Cambria"/>
      <w:i/>
      <w:iCs/>
      <w:spacing w:val="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7A3A1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4" w:right="1264" w:hanging="1264"/>
      <w:outlineLvl w:val="0"/>
    </w:pPr>
    <w:rPr>
      <w:b/>
      <w:sz w:val="24"/>
    </w:rPr>
  </w:style>
  <w:style w:type="paragraph" w:customStyle="1" w:styleId="HCh">
    <w:name w:val="_ H _Ch"/>
    <w:basedOn w:val="H1"/>
    <w:next w:val="Normal"/>
    <w:rsid w:val="007A3A1D"/>
    <w:pPr>
      <w:spacing w:line="300" w:lineRule="exact"/>
      <w:ind w:left="0" w:right="0" w:firstLine="0"/>
    </w:pPr>
    <w:rPr>
      <w:spacing w:val="-2"/>
      <w:sz w:val="28"/>
    </w:rPr>
  </w:style>
  <w:style w:type="paragraph" w:customStyle="1" w:styleId="HM">
    <w:name w:val="_ H __M"/>
    <w:basedOn w:val="HCh"/>
    <w:next w:val="Normal"/>
    <w:rsid w:val="007A3A1D"/>
    <w:pPr>
      <w:spacing w:line="360" w:lineRule="exact"/>
    </w:pPr>
    <w:rPr>
      <w:spacing w:val="-3"/>
      <w:w w:val="99"/>
      <w:sz w:val="34"/>
    </w:rPr>
  </w:style>
  <w:style w:type="paragraph" w:customStyle="1" w:styleId="H23">
    <w:name w:val="_ H_2/3"/>
    <w:basedOn w:val="H1"/>
    <w:next w:val="SingleTxt"/>
    <w:rsid w:val="007A3A1D"/>
    <w:pPr>
      <w:spacing w:line="240" w:lineRule="exact"/>
      <w:outlineLvl w:val="1"/>
    </w:pPr>
    <w:rPr>
      <w:spacing w:val="2"/>
      <w:sz w:val="20"/>
    </w:rPr>
  </w:style>
  <w:style w:type="paragraph" w:customStyle="1" w:styleId="H4">
    <w:name w:val="_ H_4"/>
    <w:basedOn w:val="Normal"/>
    <w:next w:val="Normal"/>
    <w:rsid w:val="007A3A1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3"/>
    </w:pPr>
    <w:rPr>
      <w:i/>
      <w:spacing w:val="3"/>
    </w:rPr>
  </w:style>
  <w:style w:type="paragraph" w:customStyle="1" w:styleId="H56">
    <w:name w:val="_ H_5/6"/>
    <w:basedOn w:val="Normal"/>
    <w:next w:val="Normal"/>
    <w:rsid w:val="007A3A1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4"/>
    </w:pPr>
  </w:style>
  <w:style w:type="paragraph" w:customStyle="1" w:styleId="DualTxt">
    <w:name w:val="__Dual Txt"/>
    <w:basedOn w:val="Normal"/>
    <w:rsid w:val="007A3A1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7A3A1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7A3A1D"/>
    <w:pPr>
      <w:spacing w:line="540" w:lineRule="exact"/>
    </w:pPr>
    <w:rPr>
      <w:spacing w:val="-8"/>
      <w:w w:val="96"/>
      <w:sz w:val="57"/>
    </w:rPr>
  </w:style>
  <w:style w:type="paragraph" w:customStyle="1" w:styleId="SS">
    <w:name w:val="__S_S"/>
    <w:basedOn w:val="HCh"/>
    <w:next w:val="Normal"/>
    <w:rsid w:val="007A3A1D"/>
    <w:pPr>
      <w:ind w:left="1267" w:right="1267"/>
    </w:pPr>
  </w:style>
  <w:style w:type="paragraph" w:customStyle="1" w:styleId="SingleTxt">
    <w:name w:val="__Single Txt"/>
    <w:basedOn w:val="Normal"/>
    <w:rsid w:val="007A3A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style>
  <w:style w:type="paragraph" w:customStyle="1" w:styleId="AgendaItemNormal">
    <w:name w:val="Agenda_Item_Normal"/>
    <w:next w:val="Normal"/>
    <w:qFormat/>
    <w:rsid w:val="007A3A1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H1"/>
    <w:next w:val="SingleTxt"/>
    <w:qFormat/>
    <w:rsid w:val="007A3A1D"/>
    <w:pPr>
      <w:keepNext w:val="0"/>
      <w:keepLines w:val="0"/>
    </w:pPr>
  </w:style>
  <w:style w:type="paragraph" w:customStyle="1" w:styleId="AgendaTitleH2">
    <w:name w:val="Agenda_Title_H2"/>
    <w:basedOn w:val="TitleH1"/>
    <w:next w:val="Normal"/>
    <w:qFormat/>
    <w:rsid w:val="007A3A1D"/>
    <w:pPr>
      <w:keepNext/>
      <w:keepLines/>
      <w:spacing w:line="240" w:lineRule="exact"/>
      <w:ind w:left="0" w:firstLine="0"/>
      <w:outlineLvl w:val="1"/>
    </w:pPr>
    <w:rPr>
      <w:sz w:val="20"/>
    </w:rPr>
  </w:style>
  <w:style w:type="paragraph" w:styleId="BalonMetni">
    <w:name w:val="Balloon Text"/>
    <w:basedOn w:val="Normal"/>
    <w:link w:val="BalonMetniChar"/>
    <w:semiHidden/>
    <w:rsid w:val="007A3A1D"/>
    <w:rPr>
      <w:rFonts w:ascii="Tahoma" w:hAnsi="Tahoma" w:cs="Tahoma"/>
      <w:sz w:val="16"/>
      <w:szCs w:val="16"/>
    </w:rPr>
  </w:style>
  <w:style w:type="character" w:customStyle="1" w:styleId="BalonMetniChar">
    <w:name w:val="Balon Metni Char"/>
    <w:basedOn w:val="VarsaylanParagrafYazTipi"/>
    <w:link w:val="BalonMetni"/>
    <w:semiHidden/>
    <w:rsid w:val="007A3A1D"/>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7A3A1D"/>
    <w:pPr>
      <w:numPr>
        <w:numId w:val="41"/>
      </w:numPr>
      <w:spacing w:after="120"/>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7A3A1D"/>
    <w:pPr>
      <w:numPr>
        <w:numId w:val="4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ResimYazs">
    <w:name w:val="caption"/>
    <w:basedOn w:val="Normal"/>
    <w:next w:val="Normal"/>
    <w:uiPriority w:val="35"/>
    <w:semiHidden/>
    <w:unhideWhenUsed/>
    <w:rsid w:val="00FC49F5"/>
    <w:pPr>
      <w:spacing w:line="240" w:lineRule="auto"/>
    </w:pPr>
    <w:rPr>
      <w:b/>
      <w:bCs/>
      <w:color w:val="4F81BD"/>
      <w:sz w:val="18"/>
      <w:szCs w:val="18"/>
    </w:rPr>
  </w:style>
  <w:style w:type="character" w:styleId="AklamaBavurusu">
    <w:name w:val="annotation reference"/>
    <w:semiHidden/>
    <w:rsid w:val="007A3A1D"/>
    <w:rPr>
      <w:sz w:val="6"/>
    </w:rPr>
  </w:style>
  <w:style w:type="paragraph" w:customStyle="1" w:styleId="Distribution">
    <w:name w:val="Distribution"/>
    <w:next w:val="Normal"/>
    <w:rsid w:val="007A3A1D"/>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SonnotBavurusu">
    <w:name w:val="endnote reference"/>
    <w:semiHidden/>
    <w:rsid w:val="007A3A1D"/>
    <w:rPr>
      <w:color w:val="auto"/>
      <w:spacing w:val="5"/>
      <w:w w:val="103"/>
      <w:kern w:val="14"/>
      <w:position w:val="0"/>
      <w:vertAlign w:val="superscript"/>
    </w:rPr>
  </w:style>
  <w:style w:type="paragraph" w:styleId="DipnotMetni">
    <w:name w:val="footnote text"/>
    <w:basedOn w:val="Normal"/>
    <w:link w:val="DipnotMetniChar"/>
    <w:rsid w:val="007A3A1D"/>
    <w:pPr>
      <w:widowControl w:val="0"/>
      <w:tabs>
        <w:tab w:val="right" w:pos="418"/>
      </w:tabs>
      <w:spacing w:line="210" w:lineRule="exact"/>
      <w:ind w:left="475" w:hanging="475"/>
    </w:pPr>
    <w:rPr>
      <w:spacing w:val="5"/>
      <w:sz w:val="17"/>
    </w:rPr>
  </w:style>
  <w:style w:type="character" w:customStyle="1" w:styleId="DipnotMetniChar">
    <w:name w:val="Dipnot Metni Char"/>
    <w:basedOn w:val="VarsaylanParagrafYazTipi"/>
    <w:link w:val="DipnotMetni"/>
    <w:rsid w:val="007A3A1D"/>
    <w:rPr>
      <w:rFonts w:ascii="Times New Roman" w:eastAsiaTheme="minorHAnsi" w:hAnsi="Times New Roman" w:cs="Times New Roman"/>
      <w:spacing w:val="5"/>
      <w:w w:val="103"/>
      <w:kern w:val="14"/>
      <w:sz w:val="17"/>
      <w:szCs w:val="20"/>
      <w:lang w:eastAsia="en-US"/>
    </w:rPr>
  </w:style>
  <w:style w:type="paragraph" w:styleId="SonnotMetni">
    <w:name w:val="endnote text"/>
    <w:basedOn w:val="DipnotMetni"/>
    <w:link w:val="SonnotMetniChar"/>
    <w:semiHidden/>
    <w:rsid w:val="007A3A1D"/>
  </w:style>
  <w:style w:type="character" w:customStyle="1" w:styleId="SonnotMetniChar">
    <w:name w:val="Sonnot Metni Char"/>
    <w:basedOn w:val="VarsaylanParagrafYazTipi"/>
    <w:link w:val="SonnotMetni"/>
    <w:semiHidden/>
    <w:rsid w:val="007A3A1D"/>
    <w:rPr>
      <w:rFonts w:ascii="Times New Roman" w:eastAsiaTheme="minorHAnsi" w:hAnsi="Times New Roman" w:cs="Times New Roman"/>
      <w:spacing w:val="5"/>
      <w:w w:val="103"/>
      <w:kern w:val="14"/>
      <w:sz w:val="17"/>
      <w:szCs w:val="20"/>
      <w:lang w:eastAsia="en-US"/>
    </w:rPr>
  </w:style>
  <w:style w:type="paragraph" w:styleId="Altbilgi">
    <w:name w:val="footer"/>
    <w:link w:val="AltbilgiChar"/>
    <w:rsid w:val="007A3A1D"/>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AltbilgiChar">
    <w:name w:val="Altbilgi Char"/>
    <w:basedOn w:val="VarsaylanParagrafYazTipi"/>
    <w:link w:val="Altbilgi"/>
    <w:rsid w:val="007A3A1D"/>
    <w:rPr>
      <w:rFonts w:ascii="Times New Roman" w:eastAsiaTheme="minorHAnsi" w:hAnsi="Times New Roman" w:cs="Times New Roman"/>
      <w:b/>
      <w:noProof/>
      <w:sz w:val="17"/>
      <w:szCs w:val="20"/>
      <w:lang w:val="en-US" w:eastAsia="en-US"/>
    </w:rPr>
  </w:style>
  <w:style w:type="character" w:styleId="DipnotBavurusu">
    <w:name w:val="footnote reference"/>
    <w:semiHidden/>
    <w:rsid w:val="007A3A1D"/>
    <w:rPr>
      <w:color w:val="auto"/>
      <w:spacing w:val="5"/>
      <w:w w:val="103"/>
      <w:kern w:val="14"/>
      <w:position w:val="0"/>
      <w:vertAlign w:val="superscript"/>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stbilgi">
    <w:name w:val="header"/>
    <w:link w:val="stbilgiChar"/>
    <w:rsid w:val="007A3A1D"/>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stbilgiChar">
    <w:name w:val="Üstbilgi Char"/>
    <w:basedOn w:val="VarsaylanParagrafYazTipi"/>
    <w:link w:val="stbilgi"/>
    <w:rsid w:val="007A3A1D"/>
    <w:rPr>
      <w:rFonts w:ascii="Times New Roman" w:eastAsiaTheme="minorHAnsi" w:hAnsi="Times New Roman" w:cs="Times New Roman"/>
      <w:noProof/>
      <w:sz w:val="17"/>
      <w:szCs w:val="20"/>
      <w:lang w:val="en-US" w:eastAsia="en-US"/>
    </w:rPr>
  </w:style>
  <w:style w:type="character" w:customStyle="1" w:styleId="Balk1Char">
    <w:name w:val="Başlık 1 Char"/>
    <w:link w:val="Balk1"/>
    <w:uiPriority w:val="9"/>
    <w:rsid w:val="00FC49F5"/>
    <w:rPr>
      <w:rFonts w:ascii="Arial" w:eastAsia="Times New Roman" w:hAnsi="Arial" w:cs="Times New Roman"/>
      <w:b/>
      <w:bCs/>
      <w:spacing w:val="4"/>
      <w:w w:val="103"/>
      <w:kern w:val="32"/>
      <w:sz w:val="32"/>
      <w:szCs w:val="28"/>
      <w:lang w:val="es-ES" w:eastAsia="en-US"/>
    </w:rPr>
  </w:style>
  <w:style w:type="character" w:customStyle="1" w:styleId="Balk2Char">
    <w:name w:val="Başlık 2 Char"/>
    <w:link w:val="Balk2"/>
    <w:uiPriority w:val="9"/>
    <w:rsid w:val="00FC49F5"/>
    <w:rPr>
      <w:rFonts w:ascii="Arial" w:eastAsia="Times New Roman" w:hAnsi="Arial" w:cs="Times New Roman"/>
      <w:b/>
      <w:bCs/>
      <w:i/>
      <w:spacing w:val="4"/>
      <w:w w:val="103"/>
      <w:kern w:val="14"/>
      <w:sz w:val="28"/>
      <w:szCs w:val="26"/>
      <w:lang w:val="es-ES" w:eastAsia="en-US"/>
    </w:rPr>
  </w:style>
  <w:style w:type="character" w:customStyle="1" w:styleId="Balk3Char">
    <w:name w:val="Başlık 3 Char"/>
    <w:link w:val="Balk3"/>
    <w:uiPriority w:val="9"/>
    <w:rsid w:val="00FC49F5"/>
    <w:rPr>
      <w:rFonts w:ascii="Arial" w:eastAsia="Times New Roman" w:hAnsi="Arial" w:cs="Times New Roman"/>
      <w:b/>
      <w:bCs/>
      <w:spacing w:val="4"/>
      <w:w w:val="103"/>
      <w:kern w:val="14"/>
      <w:sz w:val="26"/>
      <w:lang w:val="es-ES" w:eastAsia="en-US"/>
    </w:rPr>
  </w:style>
  <w:style w:type="character" w:customStyle="1" w:styleId="Balk4Char">
    <w:name w:val="Başlık 4 Char"/>
    <w:link w:val="Balk4"/>
    <w:uiPriority w:val="9"/>
    <w:semiHidden/>
    <w:rsid w:val="00FC49F5"/>
    <w:rPr>
      <w:rFonts w:ascii="Cambria" w:eastAsia="Times New Roman" w:hAnsi="Cambria" w:cs="Times New Roman"/>
      <w:b/>
      <w:bCs/>
      <w:i/>
      <w:iCs/>
      <w:spacing w:val="4"/>
      <w:w w:val="103"/>
      <w:sz w:val="20"/>
      <w:lang w:val="es-ES" w:eastAsia="en-US"/>
    </w:rPr>
  </w:style>
  <w:style w:type="character" w:customStyle="1" w:styleId="Balk5Char">
    <w:name w:val="Başlık 5 Char"/>
    <w:link w:val="Balk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Balk6Char">
    <w:name w:val="Başlık 6 Char"/>
    <w:link w:val="Balk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Balk7Char">
    <w:name w:val="Başlık 7 Char"/>
    <w:link w:val="Balk7"/>
    <w:uiPriority w:val="9"/>
    <w:semiHidden/>
    <w:rsid w:val="00FC49F5"/>
    <w:rPr>
      <w:rFonts w:ascii="Cambria" w:eastAsia="Times New Roman" w:hAnsi="Cambria" w:cs="Times New Roman"/>
      <w:i/>
      <w:iCs/>
      <w:spacing w:val="4"/>
      <w:w w:val="103"/>
      <w:sz w:val="20"/>
      <w:lang w:val="es-ES" w:eastAsia="en-US"/>
    </w:rPr>
  </w:style>
  <w:style w:type="character" w:customStyle="1" w:styleId="Balk8Char">
    <w:name w:val="Başlık 8 Char"/>
    <w:link w:val="Balk8"/>
    <w:uiPriority w:val="9"/>
    <w:semiHidden/>
    <w:rsid w:val="00FC49F5"/>
    <w:rPr>
      <w:rFonts w:ascii="Cambria" w:eastAsia="Times New Roman" w:hAnsi="Cambria" w:cs="Times New Roman"/>
      <w:spacing w:val="4"/>
      <w:w w:val="103"/>
      <w:sz w:val="20"/>
      <w:szCs w:val="20"/>
      <w:lang w:val="es-ES" w:eastAsia="en-US"/>
    </w:rPr>
  </w:style>
  <w:style w:type="character" w:customStyle="1" w:styleId="Balk9Char">
    <w:name w:val="Başlık 9 Char"/>
    <w:link w:val="Balk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SatrNumaras">
    <w:name w:val="line number"/>
    <w:rsid w:val="007A3A1D"/>
    <w:rPr>
      <w:sz w:val="14"/>
    </w:rPr>
  </w:style>
  <w:style w:type="paragraph" w:styleId="AralkYok">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7A3A1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7A3A1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Altbilgi"/>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7A3A1D"/>
    <w:pPr>
      <w:tabs>
        <w:tab w:val="right" w:pos="9965"/>
      </w:tabs>
      <w:spacing w:line="210" w:lineRule="exact"/>
    </w:pPr>
    <w:rPr>
      <w:spacing w:val="5"/>
      <w:w w:val="104"/>
      <w:sz w:val="17"/>
    </w:rPr>
  </w:style>
  <w:style w:type="paragraph" w:customStyle="1" w:styleId="SmallX">
    <w:name w:val="SmallX"/>
    <w:basedOn w:val="Small"/>
    <w:next w:val="Normal"/>
    <w:rsid w:val="007A3A1D"/>
    <w:pPr>
      <w:spacing w:line="180" w:lineRule="exact"/>
      <w:jc w:val="right"/>
    </w:pPr>
    <w:rPr>
      <w:spacing w:val="6"/>
      <w:w w:val="106"/>
      <w:sz w:val="14"/>
    </w:rPr>
  </w:style>
  <w:style w:type="paragraph" w:customStyle="1" w:styleId="TitleHCH">
    <w:name w:val="Title_H_CH"/>
    <w:basedOn w:val="Normal"/>
    <w:next w:val="SingleTxt"/>
    <w:qFormat/>
    <w:rsid w:val="007A3A1D"/>
  </w:style>
  <w:style w:type="paragraph" w:customStyle="1" w:styleId="TitleH2">
    <w:name w:val="Title_H2"/>
    <w:basedOn w:val="H23"/>
    <w:qFormat/>
    <w:rsid w:val="007A3A1D"/>
  </w:style>
  <w:style w:type="paragraph" w:styleId="TBal">
    <w:name w:val="TOC Heading"/>
    <w:basedOn w:val="Balk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7A3A1D"/>
    <w:pPr>
      <w:spacing w:line="390" w:lineRule="exact"/>
    </w:pPr>
    <w:rPr>
      <w:spacing w:val="-4"/>
      <w:w w:val="98"/>
      <w:sz w:val="40"/>
    </w:rPr>
  </w:style>
  <w:style w:type="character" w:styleId="Kpr">
    <w:name w:val="Hyperlink"/>
    <w:basedOn w:val="VarsaylanParagrafYazTipi"/>
    <w:rsid w:val="007A3A1D"/>
    <w:rPr>
      <w:color w:val="0000FF" w:themeColor="hyperlink"/>
      <w:u w:val="single"/>
    </w:rPr>
  </w:style>
  <w:style w:type="paragraph" w:styleId="DzMetin">
    <w:name w:val="Plain Text"/>
    <w:basedOn w:val="Normal"/>
    <w:link w:val="DzMetinChar"/>
    <w:rsid w:val="007A3A1D"/>
    <w:pPr>
      <w:suppressAutoHyphens w:val="0"/>
      <w:spacing w:line="240" w:lineRule="auto"/>
    </w:pPr>
    <w:rPr>
      <w:rFonts w:ascii="Courier New" w:eastAsia="Times New Roman" w:hAnsi="Courier New"/>
      <w:spacing w:val="0"/>
      <w:w w:val="100"/>
      <w:kern w:val="0"/>
      <w:lang w:val="en-US" w:eastAsia="en-GB"/>
    </w:rPr>
  </w:style>
  <w:style w:type="character" w:customStyle="1" w:styleId="DzMetinChar">
    <w:name w:val="Düz Metin Char"/>
    <w:basedOn w:val="VarsaylanParagrafYazTipi"/>
    <w:link w:val="DzMetin"/>
    <w:rsid w:val="007A3A1D"/>
    <w:rPr>
      <w:rFonts w:ascii="Courier New" w:eastAsia="Times New Roman" w:hAnsi="Courier New" w:cs="Times New Roman"/>
      <w:sz w:val="20"/>
      <w:szCs w:val="20"/>
      <w:lang w:val="en-US" w:eastAsia="en-GB"/>
    </w:rPr>
  </w:style>
  <w:style w:type="paragraph" w:customStyle="1" w:styleId="ReleaseDate0">
    <w:name w:val="Release Date"/>
    <w:next w:val="Altbilgi"/>
    <w:rsid w:val="007A3A1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7A3A1D"/>
    <w:pPr>
      <w:ind w:left="0" w:firstLine="0"/>
    </w:pPr>
    <w:rPr>
      <w:spacing w:val="4"/>
    </w:rPr>
  </w:style>
  <w:style w:type="table" w:styleId="TabloKlavuzu">
    <w:name w:val="Table Grid"/>
    <w:basedOn w:val="NormalTablo"/>
    <w:rsid w:val="007A3A1D"/>
    <w:pPr>
      <w:suppressAutoHyphens/>
      <w:spacing w:after="0" w:line="240" w:lineRule="exact"/>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AklamaMetni">
    <w:name w:val="annotation text"/>
    <w:basedOn w:val="Normal"/>
    <w:link w:val="AklamaMetniChar"/>
    <w:uiPriority w:val="99"/>
    <w:semiHidden/>
    <w:unhideWhenUsed/>
    <w:rsid w:val="00053AE8"/>
    <w:pPr>
      <w:spacing w:line="240" w:lineRule="auto"/>
    </w:pPr>
  </w:style>
  <w:style w:type="character" w:customStyle="1" w:styleId="AklamaMetniChar">
    <w:name w:val="Açıklama Metni Char"/>
    <w:basedOn w:val="VarsaylanParagrafYazTipi"/>
    <w:link w:val="AklamaMetni"/>
    <w:uiPriority w:val="99"/>
    <w:semiHidden/>
    <w:rsid w:val="00053AE8"/>
    <w:rPr>
      <w:rFonts w:ascii="Times New Roman" w:eastAsiaTheme="minorHAnsi" w:hAnsi="Times New Roman" w:cs="Times New Roman"/>
      <w:spacing w:val="4"/>
      <w:w w:val="103"/>
      <w:kern w:val="14"/>
      <w:sz w:val="20"/>
      <w:szCs w:val="20"/>
      <w:lang w:eastAsia="en-US"/>
    </w:rPr>
  </w:style>
  <w:style w:type="paragraph" w:styleId="AklamaKonusu">
    <w:name w:val="annotation subject"/>
    <w:basedOn w:val="AklamaMetni"/>
    <w:next w:val="AklamaMetni"/>
    <w:link w:val="AklamaKonusuChar"/>
    <w:uiPriority w:val="99"/>
    <w:semiHidden/>
    <w:unhideWhenUsed/>
    <w:rsid w:val="00053AE8"/>
    <w:rPr>
      <w:b/>
      <w:bCs/>
    </w:rPr>
  </w:style>
  <w:style w:type="character" w:customStyle="1" w:styleId="AklamaKonusuChar">
    <w:name w:val="Açıklama Konusu Char"/>
    <w:basedOn w:val="AklamaMetniChar"/>
    <w:link w:val="AklamaKonusu"/>
    <w:uiPriority w:val="99"/>
    <w:semiHidden/>
    <w:rsid w:val="00053AE8"/>
    <w:rPr>
      <w:rFonts w:ascii="Times New Roman" w:eastAsiaTheme="minorHAnsi" w:hAnsi="Times New Roman" w:cs="Times New Roman"/>
      <w:b/>
      <w:bCs/>
      <w:spacing w:val="4"/>
      <w:w w:val="103"/>
      <w:kern w:val="14"/>
      <w:sz w:val="20"/>
      <w:szCs w:val="20"/>
      <w:lang w:eastAsia="en-US"/>
    </w:rPr>
  </w:style>
  <w:style w:type="character" w:styleId="zlenenKpr">
    <w:name w:val="FollowedHyperlink"/>
    <w:basedOn w:val="VarsaylanParagrafYazTipi"/>
    <w:uiPriority w:val="99"/>
    <w:semiHidden/>
    <w:unhideWhenUsed/>
    <w:rsid w:val="005E6D2E"/>
    <w:rPr>
      <w:color w:val="0000FF"/>
      <w:u w:val="single"/>
    </w:rPr>
  </w:style>
  <w:style w:type="character" w:customStyle="1" w:styleId="UnresolvedMention">
    <w:name w:val="Unresolved Mention"/>
    <w:basedOn w:val="VarsaylanParagrafYazTipi"/>
    <w:uiPriority w:val="99"/>
    <w:semiHidden/>
    <w:unhideWhenUsed/>
    <w:rsid w:val="005E6D2E"/>
    <w:rPr>
      <w:color w:val="605E5C"/>
      <w:shd w:val="clear" w:color="auto" w:fill="E1DFDD"/>
    </w:rPr>
  </w:style>
  <w:style w:type="paragraph" w:customStyle="1" w:styleId="Default">
    <w:name w:val="Default"/>
    <w:rsid w:val="00B0543A"/>
    <w:pPr>
      <w:autoSpaceDE w:val="0"/>
      <w:autoSpaceDN w:val="0"/>
      <w:adjustRightInd w:val="0"/>
      <w:spacing w:after="0" w:line="240" w:lineRule="auto"/>
    </w:pPr>
    <w:rPr>
      <w:rFonts w:ascii="Times New Roman" w:eastAsia="Calibri" w:hAnsi="Times New Roman" w:cs="Times New Roman"/>
      <w:color w:val="000000"/>
      <w:sz w:val="24"/>
      <w:szCs w:val="24"/>
      <w:lang w:val="tr-TR"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A/RES/40/14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Leiter</dc:creator>
  <cp:keywords>Crime</cp:keywords>
  <cp:lastModifiedBy>yr503555</cp:lastModifiedBy>
  <cp:revision>2</cp:revision>
  <cp:lastPrinted>2019-05-23T16:22:00Z</cp:lastPrinted>
  <dcterms:created xsi:type="dcterms:W3CDTF">2019-05-28T13:44:00Z</dcterms:created>
  <dcterms:modified xsi:type="dcterms:W3CDTF">2019-05-28T13:44:00Z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1903642</vt:lpwstr>
  </property>
  <property fmtid="{D5CDD505-2E9C-101B-9397-08002B2CF9AE}" pid="3" name="ODSRefJobNo">
    <vt:lpwstr>1903642E</vt:lpwstr>
  </property>
  <property fmtid="{D5CDD505-2E9C-101B-9397-08002B2CF9AE}" pid="4" name="Symbol1">
    <vt:lpwstr>E/CN.15/2019/L.12/Rev.1</vt:lpwstr>
  </property>
  <property fmtid="{D5CDD505-2E9C-101B-9397-08002B2CF9AE}" pid="5" name="Symbol2">
    <vt:lpwstr/>
  </property>
  <property fmtid="{D5CDD505-2E9C-101B-9397-08002B2CF9AE}" pid="6" name="Translator">
    <vt:lpwstr/>
  </property>
  <property fmtid="{D5CDD505-2E9C-101B-9397-08002B2CF9AE}" pid="7" name="Operator">
    <vt:lpwstr>MJL</vt:lpwstr>
  </property>
  <property fmtid="{D5CDD505-2E9C-101B-9397-08002B2CF9AE}" pid="8" name="DraftPages">
    <vt:lpwstr> </vt:lpwstr>
  </property>
  <property fmtid="{D5CDD505-2E9C-101B-9397-08002B2CF9AE}" pid="9" name="Comment">
    <vt:lpwstr/>
  </property>
  <property fmtid="{D5CDD505-2E9C-101B-9397-08002B2CF9AE}" pid="10" name="Distribution">
    <vt:lpwstr>Limited</vt:lpwstr>
  </property>
  <property fmtid="{D5CDD505-2E9C-101B-9397-08002B2CF9AE}" pid="11" name="Publication Date">
    <vt:lpwstr>23 May 2019</vt:lpwstr>
  </property>
  <property fmtid="{D5CDD505-2E9C-101B-9397-08002B2CF9AE}" pid="12" name="Original">
    <vt:lpwstr>English</vt:lpwstr>
  </property>
  <property fmtid="{D5CDD505-2E9C-101B-9397-08002B2CF9AE}" pid="13" name="Release Date">
    <vt:lpwstr>230519</vt:lpwstr>
  </property>
</Properties>
</file>