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EF" w:rsidRPr="005E2570" w:rsidRDefault="00CB74EF" w:rsidP="00CB74EF">
      <w:pPr>
        <w:jc w:val="center"/>
        <w:rPr>
          <w:rFonts w:ascii="Times New Roman" w:hAnsi="Times New Roman" w:cs="Times New Roman"/>
          <w:sz w:val="24"/>
          <w:szCs w:val="24"/>
        </w:rPr>
      </w:pPr>
      <w:r w:rsidRPr="005E2570">
        <w:rPr>
          <w:rFonts w:ascii="Times New Roman" w:hAnsi="Times New Roman" w:cs="Times New Roman"/>
          <w:sz w:val="24"/>
          <w:szCs w:val="24"/>
        </w:rPr>
        <w:t>YARGITAY</w:t>
      </w:r>
    </w:p>
    <w:p w:rsidR="00CB74EF" w:rsidRPr="005E2570" w:rsidRDefault="00CB74EF" w:rsidP="00CB74EF">
      <w:pPr>
        <w:jc w:val="center"/>
        <w:rPr>
          <w:rFonts w:ascii="Times New Roman" w:hAnsi="Times New Roman" w:cs="Times New Roman"/>
          <w:b/>
          <w:sz w:val="24"/>
          <w:szCs w:val="24"/>
        </w:rPr>
      </w:pPr>
      <w:r w:rsidRPr="005E2570">
        <w:rPr>
          <w:rFonts w:ascii="Times New Roman" w:hAnsi="Times New Roman" w:cs="Times New Roman"/>
          <w:b/>
          <w:sz w:val="24"/>
          <w:szCs w:val="24"/>
        </w:rPr>
        <w:t xml:space="preserve">“İŞ SÜREÇLERİNİN YENİDEN YAPILANDIRILMASI VE VERİMLİLİK KONTROLÜ” </w:t>
      </w:r>
    </w:p>
    <w:p w:rsidR="00CB74EF" w:rsidRPr="005E2570" w:rsidRDefault="00CB74EF" w:rsidP="00CB74EF">
      <w:pPr>
        <w:jc w:val="center"/>
        <w:rPr>
          <w:rFonts w:ascii="Times New Roman" w:hAnsi="Times New Roman" w:cs="Times New Roman"/>
          <w:sz w:val="24"/>
          <w:szCs w:val="24"/>
        </w:rPr>
      </w:pPr>
      <w:r w:rsidRPr="005E2570">
        <w:rPr>
          <w:rFonts w:ascii="Times New Roman" w:hAnsi="Times New Roman" w:cs="Times New Roman"/>
          <w:sz w:val="24"/>
          <w:szCs w:val="24"/>
        </w:rPr>
        <w:t>PROJESİ</w:t>
      </w:r>
      <w:r w:rsidR="005E2570" w:rsidRPr="005E2570">
        <w:rPr>
          <w:rFonts w:ascii="Times New Roman" w:hAnsi="Times New Roman" w:cs="Times New Roman"/>
          <w:sz w:val="24"/>
          <w:szCs w:val="24"/>
        </w:rPr>
        <w:t xml:space="preserve"> BİLGİ NOTU</w:t>
      </w:r>
    </w:p>
    <w:p w:rsidR="00CB74EF" w:rsidRPr="005E2570" w:rsidRDefault="00CB74EF" w:rsidP="00CB74EF">
      <w:pPr>
        <w:pStyle w:val="Balk2"/>
        <w:rPr>
          <w:rFonts w:ascii="Times New Roman" w:hAnsi="Times New Roman" w:cs="Times New Roman"/>
          <w:color w:val="auto"/>
          <w:sz w:val="24"/>
          <w:szCs w:val="24"/>
        </w:rPr>
      </w:pPr>
      <w:bookmarkStart w:id="0" w:name="_Toc497862356"/>
      <w:r w:rsidRPr="005E2570">
        <w:rPr>
          <w:rFonts w:ascii="Times New Roman" w:hAnsi="Times New Roman" w:cs="Times New Roman"/>
          <w:color w:val="auto"/>
          <w:sz w:val="24"/>
          <w:szCs w:val="24"/>
        </w:rPr>
        <w:t>I. Projenin Eğildiği Sorunlar</w:t>
      </w:r>
      <w:bookmarkEnd w:id="0"/>
    </w:p>
    <w:p w:rsidR="00CB74EF" w:rsidRPr="005E2570" w:rsidRDefault="00CB74EF" w:rsidP="00CB74EF">
      <w:pPr>
        <w:ind w:firstLine="720"/>
        <w:jc w:val="both"/>
        <w:rPr>
          <w:rFonts w:ascii="Times New Roman" w:hAnsi="Times New Roman" w:cs="Times New Roman"/>
          <w:sz w:val="24"/>
          <w:szCs w:val="24"/>
        </w:rPr>
      </w:pPr>
    </w:p>
    <w:p w:rsidR="00CB74EF" w:rsidRPr="005E2570" w:rsidRDefault="00CB74EF" w:rsidP="00CB74EF">
      <w:pPr>
        <w:ind w:firstLine="720"/>
        <w:jc w:val="both"/>
        <w:rPr>
          <w:b/>
          <w:sz w:val="24"/>
          <w:szCs w:val="24"/>
        </w:rPr>
      </w:pPr>
      <w:r w:rsidRPr="005E2570">
        <w:rPr>
          <w:rFonts w:ascii="Times New Roman" w:hAnsi="Times New Roman" w:cs="Times New Roman"/>
          <w:sz w:val="24"/>
          <w:szCs w:val="24"/>
        </w:rPr>
        <w:t>Yargıtay’a yüklenen Anayasal sorumluluğun layıkıyla yerine getirilmesi ve toplumun adalete ilişkin beklentilerinin doyurucu şekilde karşılanabilmesi için çağdaş, etkili ve ileri bir genel işleyiş sistemine sahip olması gerekir. 20 Temmuz 2016 tarihinde Bölge Adliye Mahkemelerini</w:t>
      </w:r>
      <w:bookmarkStart w:id="1" w:name="_GoBack"/>
      <w:bookmarkEnd w:id="1"/>
      <w:r w:rsidRPr="005E2570">
        <w:rPr>
          <w:rFonts w:ascii="Times New Roman" w:hAnsi="Times New Roman" w:cs="Times New Roman"/>
          <w:sz w:val="24"/>
          <w:szCs w:val="24"/>
        </w:rPr>
        <w:t>n faaliyete geçmesi, Yargıtay’ın tüm diğer mahkemeleri denetleyen ve düzenleyen, adli yargı sistemi genelinde görüş birliğini oluşturan ve sürdüren üst mahkeme olma hedefine uygun olarak, (genel itibarıyla) yeniden yapılandırılmasını gerektirmektedir. Yeniden yapılandırma çalışmaları kapsamında, öncelikle etik ve şeffaflık üzerinde durularak, ulusal ve uluslararası düzeyde çok ciddi mesafeler kat edilmiş ve Yargıtay’a özgü etik ilkeler benimsenmiştir. Etik ilkelerin, şeffaf bir şekilde iş süreçlerine uygulanması bakımından bu Proje, Yargıtay’ın etik ve şeffaflık stratejisinin somutlaştırılması ve toplumun bu çalışmalardan doğrudan faydalanması için büyük önem taşımaktadır.</w:t>
      </w:r>
    </w:p>
    <w:p w:rsidR="00CB74EF" w:rsidRPr="005E2570" w:rsidRDefault="00CB74EF" w:rsidP="00CB74EF">
      <w:pPr>
        <w:ind w:firstLine="720"/>
        <w:jc w:val="both"/>
        <w:rPr>
          <w:rFonts w:ascii="Times New Roman" w:hAnsi="Times New Roman" w:cs="Times New Roman"/>
          <w:b/>
          <w:sz w:val="24"/>
          <w:szCs w:val="24"/>
        </w:rPr>
      </w:pPr>
      <w:r w:rsidRPr="005E2570">
        <w:rPr>
          <w:rFonts w:ascii="Times New Roman" w:hAnsi="Times New Roman" w:cs="Times New Roman"/>
          <w:sz w:val="24"/>
          <w:szCs w:val="24"/>
        </w:rPr>
        <w:t xml:space="preserve">   Yargıtay’ın ağır iş yükünün arkasında; düşük onama oranları, yüksek bozma oranları, dosyaların esastan incelenmesine engel teşkil eden geri çevirme ve gönderme kararı sayısının yüksek olması bulunmaktadır. Bu sorunların giderilmesi, ortalama yargılama süresinin kısaltılması, yargıya olan güvenin tesisi, adil yargılanma hakkının daha çok korunmasını sağlayacaktır. Söz konusu sorunların büyüklüğü, mahkemelerden başlayan bir dizi problemin Yargıtay’a çığ gibi taşınmasından kaynaklanmaktadır. İş süreçleri, takip ve denetim sistemi yetersizlikleri, eğitim ve motivasyon eksiklikleri olarak başlayan sorunlar, Yargıtay’ın iş yükünün ölçüsüz şekilde artması sonucunu doğurmaktadır. Bu tespit, mahkemelerden Yargıtay’a kadar sorunun bütüncül bir bakış açısı ile ele alınması gerekliliğine işaret etmektedir. </w:t>
      </w:r>
    </w:p>
    <w:p w:rsidR="00CB74EF" w:rsidRPr="00CA039A" w:rsidRDefault="00CB74EF" w:rsidP="00CB74EF">
      <w:pPr>
        <w:pStyle w:val="Default"/>
        <w:spacing w:after="186"/>
        <w:ind w:left="0" w:firstLine="708"/>
        <w:rPr>
          <w:rFonts w:ascii="Times New Roman" w:hAnsi="Times New Roman" w:cs="Times New Roman"/>
          <w:b/>
          <w:lang w:val="tr-TR"/>
        </w:rPr>
      </w:pPr>
      <w:r w:rsidRPr="005E2570">
        <w:rPr>
          <w:rFonts w:ascii="Times New Roman" w:hAnsi="Times New Roman" w:cs="Times New Roman"/>
          <w:lang w:val="tr-TR"/>
        </w:rPr>
        <w:t xml:space="preserve">Türkiye Cumhuriyeti Hükümeti, </w:t>
      </w:r>
      <w:r w:rsidRPr="005E2570">
        <w:rPr>
          <w:rFonts w:ascii="Times New Roman" w:hAnsi="Times New Roman" w:cs="Times New Roman"/>
          <w:b/>
          <w:i/>
          <w:lang w:val="tr-TR"/>
        </w:rPr>
        <w:t>10. Kalkınma Planı’nda</w:t>
      </w:r>
      <w:r w:rsidRPr="005E2570">
        <w:rPr>
          <w:rFonts w:ascii="Times New Roman" w:hAnsi="Times New Roman" w:cs="Times New Roman"/>
          <w:lang w:val="tr-TR"/>
        </w:rPr>
        <w:t xml:space="preserve"> da yargı reformunun devam etmesi gereğini açıkça vurgulamıştır: “Evrensel hukuk normları, hukuk dev</w:t>
      </w:r>
      <w:r w:rsidRPr="005E2570">
        <w:rPr>
          <w:rFonts w:ascii="Times New Roman" w:hAnsi="Times New Roman" w:cs="Times New Roman"/>
          <w:lang w:val="tr-TR"/>
        </w:rPr>
        <w:softHyphen/>
        <w:t>leti ve hukukun üstünlüğünün gerekleri doğrultusunda yargılama sürecinin hızlı, adil, etkin, güvenli ve isabetli şekilde iş</w:t>
      </w:r>
      <w:r w:rsidRPr="005E2570">
        <w:rPr>
          <w:rFonts w:ascii="Times New Roman" w:hAnsi="Times New Roman" w:cs="Times New Roman"/>
          <w:lang w:val="tr-TR"/>
        </w:rPr>
        <w:softHyphen/>
        <w:t xml:space="preserve">lemesi adalet sisteminin temel amacıdır”. </w:t>
      </w:r>
      <w:r w:rsidRPr="00CA039A">
        <w:rPr>
          <w:rFonts w:ascii="Times New Roman" w:hAnsi="Times New Roman" w:cs="Times New Roman"/>
          <w:b/>
          <w:lang w:val="tr-TR"/>
        </w:rPr>
        <w:t xml:space="preserve">Plan, yargı mensuplarına yönelik etik ilkelerin benimsenmesine yönelik hedefler belirlemiş; şeffaflığın ve etkinliğin arttırılması yönünde adalet ve yargı hizmetlerinde bilişim teknolojilerinin kullanımının yaygınlaştırılmasını amaçlamıştır. </w:t>
      </w:r>
    </w:p>
    <w:p w:rsidR="00CB74EF" w:rsidRPr="005E2570" w:rsidRDefault="00CB74EF" w:rsidP="00CB74EF">
      <w:pPr>
        <w:ind w:firstLine="708"/>
        <w:jc w:val="both"/>
        <w:rPr>
          <w:rFonts w:ascii="Times New Roman" w:hAnsi="Times New Roman" w:cs="Times New Roman"/>
          <w:sz w:val="24"/>
          <w:szCs w:val="24"/>
        </w:rPr>
      </w:pPr>
      <w:r w:rsidRPr="005E2570">
        <w:rPr>
          <w:rFonts w:ascii="Times New Roman" w:hAnsi="Times New Roman" w:cs="Times New Roman"/>
          <w:sz w:val="24"/>
          <w:szCs w:val="24"/>
        </w:rPr>
        <w:t xml:space="preserve">Yargı bağımsızlığı ve tarafsızlığı güçlendirmeyi, hesap verilebilirliği ve şeffaflığı artırmayı amaçlayan ve Nisan 2015’de kamuoyu ile paylaşılan </w:t>
      </w:r>
      <w:r w:rsidRPr="005E2570">
        <w:rPr>
          <w:rFonts w:ascii="Times New Roman" w:hAnsi="Times New Roman" w:cs="Times New Roman"/>
          <w:b/>
          <w:i/>
          <w:sz w:val="24"/>
          <w:szCs w:val="24"/>
        </w:rPr>
        <w:t>2015 Yargı Reformu Stratejisi</w:t>
      </w:r>
      <w:r w:rsidRPr="005E2570">
        <w:rPr>
          <w:rFonts w:ascii="Times New Roman" w:hAnsi="Times New Roman" w:cs="Times New Roman"/>
          <w:sz w:val="24"/>
          <w:szCs w:val="24"/>
        </w:rPr>
        <w:t>güven veren ve insan odaklı bir adalet sistemini temel olarak belirlemiştir.</w:t>
      </w:r>
    </w:p>
    <w:p w:rsidR="00CA039A" w:rsidRDefault="00CA039A" w:rsidP="00CB74EF">
      <w:pPr>
        <w:pStyle w:val="ListeMaddemi"/>
        <w:numPr>
          <w:ilvl w:val="0"/>
          <w:numId w:val="0"/>
        </w:numPr>
        <w:ind w:left="354"/>
        <w:rPr>
          <w:b/>
        </w:rPr>
      </w:pPr>
    </w:p>
    <w:p w:rsidR="00CA039A" w:rsidRDefault="00CA039A" w:rsidP="00CB74EF">
      <w:pPr>
        <w:pStyle w:val="ListeMaddemi"/>
        <w:numPr>
          <w:ilvl w:val="0"/>
          <w:numId w:val="0"/>
        </w:numPr>
        <w:ind w:left="354"/>
        <w:rPr>
          <w:b/>
        </w:rPr>
      </w:pPr>
    </w:p>
    <w:p w:rsidR="00CB74EF" w:rsidRPr="005E2570" w:rsidRDefault="00CB74EF" w:rsidP="00CB74EF">
      <w:pPr>
        <w:pStyle w:val="ListeMaddemi"/>
        <w:numPr>
          <w:ilvl w:val="0"/>
          <w:numId w:val="0"/>
        </w:numPr>
        <w:ind w:left="354"/>
        <w:rPr>
          <w:b/>
        </w:rPr>
      </w:pPr>
      <w:r w:rsidRPr="005E2570">
        <w:rPr>
          <w:b/>
        </w:rPr>
        <w:lastRenderedPageBreak/>
        <w:t>II.Projede Öngörülen Amaçlar ve Faaliyetler</w:t>
      </w:r>
    </w:p>
    <w:p w:rsidR="00CB74EF" w:rsidRPr="005E2570" w:rsidRDefault="00CB74EF" w:rsidP="00CB74EF">
      <w:pPr>
        <w:pStyle w:val="ListeMaddemi"/>
        <w:numPr>
          <w:ilvl w:val="0"/>
          <w:numId w:val="0"/>
        </w:numPr>
        <w:ind w:left="354"/>
      </w:pPr>
    </w:p>
    <w:p w:rsidR="00CB74EF" w:rsidRPr="005E2570" w:rsidRDefault="00CB74EF" w:rsidP="00CB74EF">
      <w:pPr>
        <w:pStyle w:val="ListeMaddemi"/>
      </w:pPr>
      <w:r w:rsidRPr="005E2570">
        <w:t>Performans ölçümüne özen gösterilmesi ve her kademedeki çalışan için performans kriterlerinin belirlenmesi, performans takip sistemi geliştirilmesi,</w:t>
      </w:r>
    </w:p>
    <w:p w:rsidR="00CB74EF" w:rsidRPr="005E2570" w:rsidRDefault="00CB74EF" w:rsidP="00CB74EF">
      <w:pPr>
        <w:pStyle w:val="ListeMaddemi"/>
      </w:pPr>
      <w:r w:rsidRPr="005E2570">
        <w:t>Etkili bir ön inceleme yapılmasını sağlamak amacıyla, karar türlerine (geri çevirme, gönderme, zamanaşımı, kanun bozması, aktarma ve benzeri) dayalı ve detaylı performans ölçümü yapılmasının sağlanması,</w:t>
      </w:r>
    </w:p>
    <w:p w:rsidR="00CB74EF" w:rsidRPr="005E2570" w:rsidRDefault="00CB74EF" w:rsidP="00CB74EF">
      <w:pPr>
        <w:pStyle w:val="ListeMaddemi"/>
      </w:pPr>
      <w:r w:rsidRPr="005E2570">
        <w:t>İş yükünün eşit dağılmasını sağlamak için, dairelerin iş yüklerini karşılaştıran, doğru ve otomasyona dayalı bir istatistiksel uygulama geliştirilmesi,</w:t>
      </w:r>
    </w:p>
    <w:p w:rsidR="00CB74EF" w:rsidRPr="005E2570" w:rsidRDefault="00CB74EF" w:rsidP="00CB74EF">
      <w:pPr>
        <w:pStyle w:val="ListeMaddemi"/>
      </w:pPr>
      <w:r w:rsidRPr="005E2570">
        <w:t>Yargıtay’ın halihazır temyiz davalarını tahsis etme ve dava hakkında karar verme yaklaşımı, özellikle ilk derece mahkemelerinin rutin kararlarından doğan “süzgeçten geçirilmemiş” temyizler olmak üzere, temyiz edilen konuların nisbi basitliği veya zorluğunu dikkate almamaktadır. Yeni Yargıtay Kanunu hazırlanırken buna imkan veren karar türlerinin geliştirilmesine yönelik çalışmalar yapılarak öneriler getirilmesi,</w:t>
      </w:r>
    </w:p>
    <w:p w:rsidR="00CB74EF" w:rsidRPr="005E2570" w:rsidRDefault="00CB74EF" w:rsidP="00CB74EF">
      <w:pPr>
        <w:pStyle w:val="ListeMaddemi"/>
      </w:pPr>
      <w:r w:rsidRPr="005E2570">
        <w:t>Yargıtay dairelerinin yapısı ve işleyişi bazı hallerde oldukça karmaşıktır. Halihazırda salt konu uzmanlığına yapılan vurgu, haklı gerekçelere dayanıyor ise de bu konuda ilerleme sağlanmasının gerekmesi,</w:t>
      </w:r>
    </w:p>
    <w:p w:rsidR="00CB74EF" w:rsidRPr="005E2570" w:rsidRDefault="00CB74EF" w:rsidP="00CB74EF">
      <w:pPr>
        <w:pStyle w:val="ListeMaddemi"/>
      </w:pPr>
      <w:r w:rsidRPr="005E2570">
        <w:t>Yargıtay’ın uzmanlaşmayı benimseme ölçüsü yeniden değerlendirilmeli, verimlilik noktasında yeniden ele alınmalıdır. Bu nedenle, dava tahsis sürecine daha fazla şeffaflık kazandırmaya yönelik çalışmalar yapılması,</w:t>
      </w:r>
    </w:p>
    <w:p w:rsidR="00CB74EF" w:rsidRPr="005E2570" w:rsidRDefault="00CB74EF" w:rsidP="00CB74EF">
      <w:pPr>
        <w:pStyle w:val="ListeMaddemi"/>
      </w:pPr>
      <w:r w:rsidRPr="005E2570">
        <w:t>Yazı işleri müdürleri başta olmak üzere her kademedeki personelin görev tanımlarının net bir şekilde yapılması,</w:t>
      </w:r>
    </w:p>
    <w:p w:rsidR="00CB74EF" w:rsidRPr="005E2570" w:rsidRDefault="00CB74EF" w:rsidP="00CB74EF">
      <w:pPr>
        <w:rPr>
          <w:rFonts w:ascii="Times New Roman" w:hAnsi="Times New Roman" w:cs="Times New Roman"/>
          <w:sz w:val="24"/>
          <w:szCs w:val="24"/>
        </w:rPr>
      </w:pPr>
    </w:p>
    <w:p w:rsidR="00CB74EF" w:rsidRPr="005E2570" w:rsidRDefault="00CB74EF" w:rsidP="00CB74EF">
      <w:pPr>
        <w:pStyle w:val="ListeMaddemi"/>
      </w:pPr>
      <w:r w:rsidRPr="005E2570">
        <w:t>UYAP</w:t>
      </w:r>
      <w:r w:rsidRPr="005E2570">
        <w:rPr>
          <w:vertAlign w:val="superscript"/>
        </w:rPr>
        <w:footnoteReference w:id="2"/>
      </w:r>
      <w:r w:rsidRPr="005E2570">
        <w:t xml:space="preserve"> uygulamaları ile Yargıtay’da gerçek anlamda bir dava (dosya) yönetim uygulamasına geçişte ilerleme kaydedilmesi, </w:t>
      </w:r>
    </w:p>
    <w:p w:rsidR="00CB74EF" w:rsidRPr="005E2570" w:rsidRDefault="00CB74EF" w:rsidP="00CB74EF">
      <w:pPr>
        <w:pStyle w:val="ListeMaddemi"/>
      </w:pPr>
      <w:r w:rsidRPr="005E2570">
        <w:t>UYAP’ın tam potansiyelinin gerçekleştirilip gerçekleştirilmediğini belirlemek için ciddi bir inceleme yapılması ve etkili yönetim stratejilerine uygun bir araç olarak kullanılması konusunda daha fazla ilerleme sağlanması,</w:t>
      </w:r>
    </w:p>
    <w:p w:rsidR="00CB74EF" w:rsidRPr="005E2570" w:rsidRDefault="00CB74EF" w:rsidP="00CB74EF">
      <w:pPr>
        <w:pStyle w:val="ListeMaddemi"/>
      </w:pPr>
      <w:r w:rsidRPr="005E2570">
        <w:t>Yargıtay dairelerinin kendi kurumsal iş yüklerini yönetmelerine yardımcı olacak istatistikler, örneğin işlemler arasında geçen süre, gecikme nedenleri, dava türleri, dava tahsis, planlama, izleme ve benzer şekilde tüm Yargıtay düzeyinde anlamlı veya faydalı olabilecek istatistikler, örneğin, trend analizleri, iş yükü göstergeleri, hakim, savcı ve katip ihtiyaçları, mali yıl bütçe tahmini veya gerekçeleri ve benzeri göstergeler arasında açık bir ayrım yapmaya yönelik çalışmalar yapılması, bu konuların, çağdaş yönetim gereklerine uygun olarak şeffaf, ölçülebilir ve rakamlarla netleştirilebilir hale getirilmesi,</w:t>
      </w:r>
    </w:p>
    <w:p w:rsidR="00CB74EF" w:rsidRPr="005E2570" w:rsidRDefault="00CB74EF" w:rsidP="00CB74EF">
      <w:pPr>
        <w:ind w:firstLine="354"/>
        <w:rPr>
          <w:b/>
          <w:sz w:val="24"/>
          <w:szCs w:val="24"/>
        </w:rPr>
      </w:pPr>
      <w:r w:rsidRPr="005E2570">
        <w:rPr>
          <w:b/>
          <w:sz w:val="24"/>
          <w:szCs w:val="24"/>
        </w:rPr>
        <w:t>Yargıtay’da, temsil edici “derin kesitli”</w:t>
      </w:r>
      <w:r w:rsidRPr="005E2570">
        <w:rPr>
          <w:rStyle w:val="DipnotBavurusu"/>
          <w:b/>
          <w:sz w:val="24"/>
          <w:szCs w:val="24"/>
        </w:rPr>
        <w:footnoteReference w:id="3"/>
      </w:r>
      <w:r w:rsidRPr="005E2570">
        <w:rPr>
          <w:b/>
          <w:sz w:val="24"/>
          <w:szCs w:val="24"/>
        </w:rPr>
        <w:t xml:space="preserve"> bir çalışma grubu oluşturularak;</w:t>
      </w:r>
    </w:p>
    <w:p w:rsidR="00CB74EF" w:rsidRPr="005E2570" w:rsidRDefault="00CB74EF" w:rsidP="00CB74EF">
      <w:pPr>
        <w:pStyle w:val="ListeMaddemi2"/>
        <w:tabs>
          <w:tab w:val="clear" w:pos="643"/>
          <w:tab w:val="num" w:pos="709"/>
        </w:tabs>
        <w:spacing w:before="120" w:after="120" w:line="240" w:lineRule="auto"/>
        <w:ind w:left="709" w:hanging="355"/>
        <w:contextualSpacing w:val="0"/>
        <w:jc w:val="both"/>
        <w:rPr>
          <w:rFonts w:ascii="Times New Roman" w:hAnsi="Times New Roman" w:cs="Times New Roman"/>
          <w:sz w:val="24"/>
          <w:szCs w:val="24"/>
        </w:rPr>
      </w:pPr>
      <w:r w:rsidRPr="005E2570">
        <w:rPr>
          <w:rFonts w:ascii="Times New Roman" w:hAnsi="Times New Roman" w:cs="Times New Roman"/>
          <w:sz w:val="24"/>
          <w:szCs w:val="24"/>
        </w:rPr>
        <w:t>Kapsamlı iş akış analizi hazırlanması,</w:t>
      </w:r>
    </w:p>
    <w:p w:rsidR="00CB74EF" w:rsidRPr="005E2570" w:rsidRDefault="00CB74EF" w:rsidP="00CB74EF">
      <w:pPr>
        <w:pStyle w:val="ListeMaddemi2"/>
        <w:tabs>
          <w:tab w:val="clear" w:pos="643"/>
          <w:tab w:val="num" w:pos="709"/>
        </w:tabs>
        <w:spacing w:before="120" w:after="120" w:line="240" w:lineRule="auto"/>
        <w:ind w:left="709" w:hanging="355"/>
        <w:contextualSpacing w:val="0"/>
        <w:jc w:val="both"/>
        <w:rPr>
          <w:rFonts w:ascii="Times New Roman" w:hAnsi="Times New Roman" w:cs="Times New Roman"/>
          <w:sz w:val="24"/>
          <w:szCs w:val="24"/>
        </w:rPr>
      </w:pPr>
      <w:r w:rsidRPr="005E2570">
        <w:rPr>
          <w:rFonts w:ascii="Times New Roman" w:hAnsi="Times New Roman" w:cs="Times New Roman"/>
          <w:sz w:val="24"/>
          <w:szCs w:val="24"/>
        </w:rPr>
        <w:t>Mevcut iş akışının ayrıntılı biçimde şemasının hazırlanması,</w:t>
      </w:r>
    </w:p>
    <w:p w:rsidR="00CB74EF" w:rsidRPr="005E2570" w:rsidRDefault="00CB74EF" w:rsidP="00CB74EF">
      <w:pPr>
        <w:pStyle w:val="ListeMaddemi2"/>
        <w:tabs>
          <w:tab w:val="clear" w:pos="643"/>
          <w:tab w:val="num" w:pos="709"/>
        </w:tabs>
        <w:spacing w:before="120" w:after="120" w:line="240" w:lineRule="auto"/>
        <w:ind w:left="709" w:hanging="355"/>
        <w:contextualSpacing w:val="0"/>
        <w:jc w:val="both"/>
        <w:rPr>
          <w:rFonts w:ascii="Times New Roman" w:hAnsi="Times New Roman" w:cs="Times New Roman"/>
          <w:sz w:val="24"/>
          <w:szCs w:val="24"/>
        </w:rPr>
      </w:pPr>
      <w:r w:rsidRPr="005E2570">
        <w:rPr>
          <w:rFonts w:ascii="Times New Roman" w:hAnsi="Times New Roman" w:cs="Times New Roman"/>
          <w:sz w:val="24"/>
          <w:szCs w:val="24"/>
        </w:rPr>
        <w:lastRenderedPageBreak/>
        <w:t xml:space="preserve">Her dairenin iş süreçleri veya dava yönetim sistemi bakımından mükerrer, fazlalık, gereksiz veya </w:t>
      </w:r>
      <w:r w:rsidRPr="005E2570">
        <w:rPr>
          <w:rFonts w:ascii="Times New Roman" w:hAnsi="Times New Roman" w:cs="Times New Roman"/>
          <w:sz w:val="24"/>
          <w:szCs w:val="24"/>
          <w:u w:val="single"/>
        </w:rPr>
        <w:t>katma değer</w:t>
      </w:r>
      <w:r w:rsidRPr="005E2570">
        <w:rPr>
          <w:rFonts w:ascii="Times New Roman" w:hAnsi="Times New Roman" w:cs="Times New Roman"/>
          <w:sz w:val="24"/>
          <w:szCs w:val="24"/>
        </w:rPr>
        <w:t xml:space="preserve"> sağlamayan adım veya prosedürleri tanımlamak üzere personel ile yakın işbirliği içinde çalışılması,</w:t>
      </w:r>
    </w:p>
    <w:p w:rsidR="00CB74EF" w:rsidRPr="005E2570" w:rsidRDefault="00CB74EF" w:rsidP="00CB74EF">
      <w:pPr>
        <w:pStyle w:val="ListeMaddemi2"/>
        <w:tabs>
          <w:tab w:val="clear" w:pos="643"/>
          <w:tab w:val="num" w:pos="709"/>
        </w:tabs>
        <w:spacing w:before="120" w:after="120" w:line="240" w:lineRule="auto"/>
        <w:ind w:left="709" w:hanging="355"/>
        <w:contextualSpacing w:val="0"/>
        <w:jc w:val="both"/>
        <w:rPr>
          <w:rFonts w:ascii="Times New Roman" w:hAnsi="Times New Roman" w:cs="Times New Roman"/>
          <w:sz w:val="24"/>
          <w:szCs w:val="24"/>
        </w:rPr>
      </w:pPr>
      <w:r w:rsidRPr="005E2570">
        <w:rPr>
          <w:rFonts w:ascii="Times New Roman" w:hAnsi="Times New Roman" w:cs="Times New Roman"/>
          <w:sz w:val="24"/>
          <w:szCs w:val="24"/>
        </w:rPr>
        <w:t>Mevcut iş süreçlerini sadeleştiren, modernize eden veya daha etkili hale getiren yeniden tasarımlanmış adımlar ve prosedürler önerilmesi veya denenmesi,</w:t>
      </w:r>
    </w:p>
    <w:p w:rsidR="00CB74EF" w:rsidRPr="005E2570" w:rsidRDefault="00CB74EF" w:rsidP="00CB74EF">
      <w:pPr>
        <w:pStyle w:val="ListeMaddemi2"/>
        <w:tabs>
          <w:tab w:val="clear" w:pos="643"/>
          <w:tab w:val="num" w:pos="709"/>
        </w:tabs>
        <w:spacing w:before="120" w:after="120" w:line="240" w:lineRule="auto"/>
        <w:ind w:left="709" w:hanging="355"/>
        <w:contextualSpacing w:val="0"/>
        <w:jc w:val="both"/>
        <w:rPr>
          <w:rFonts w:ascii="Times New Roman" w:hAnsi="Times New Roman" w:cs="Times New Roman"/>
          <w:sz w:val="24"/>
          <w:szCs w:val="24"/>
        </w:rPr>
      </w:pPr>
      <w:r w:rsidRPr="005E2570">
        <w:rPr>
          <w:rFonts w:ascii="Times New Roman" w:hAnsi="Times New Roman" w:cs="Times New Roman"/>
          <w:sz w:val="24"/>
          <w:szCs w:val="24"/>
        </w:rPr>
        <w:t>Önerilmiş olan gözden geçirilmiş iş süreçleri veya UYAP dava yönetim uygulamalarının ayrıntılı iş akış şemalarının hazırlanması ve uygulanmasına destek sağlanması,</w:t>
      </w:r>
    </w:p>
    <w:p w:rsidR="00CB74EF" w:rsidRPr="005E2570" w:rsidRDefault="00CB74EF" w:rsidP="00CB74EF">
      <w:pPr>
        <w:pStyle w:val="ListeMaddemi2"/>
        <w:tabs>
          <w:tab w:val="clear" w:pos="643"/>
          <w:tab w:val="num" w:pos="709"/>
        </w:tabs>
        <w:spacing w:before="120" w:after="120" w:line="240" w:lineRule="auto"/>
        <w:ind w:left="709" w:hanging="355"/>
        <w:contextualSpacing w:val="0"/>
        <w:jc w:val="both"/>
        <w:rPr>
          <w:rFonts w:ascii="Times New Roman" w:hAnsi="Times New Roman" w:cs="Times New Roman"/>
          <w:sz w:val="24"/>
          <w:szCs w:val="24"/>
        </w:rPr>
      </w:pPr>
      <w:r w:rsidRPr="005E2570">
        <w:rPr>
          <w:rFonts w:ascii="Times New Roman" w:hAnsi="Times New Roman" w:cs="Times New Roman"/>
          <w:sz w:val="24"/>
          <w:szCs w:val="24"/>
        </w:rPr>
        <w:t>Yargıtay’ın ihtiyaçlarını karşılayan, tüm adli yargı sistemini bütünsel olarak inceleyecek seviyede birleştirilmek üzere anlamlı istatistiksel veya yönetimsel veriler üretmek üzere kullanılabilecek, temel fakat kapsamlı UYAP uygulamaları geliştirmek, uygulamak, test etmek ve onaylamak üzere personel yetiştirilmesi,</w:t>
      </w:r>
    </w:p>
    <w:p w:rsidR="00CB74EF" w:rsidRPr="005E2570" w:rsidRDefault="00CB74EF" w:rsidP="00CB74EF">
      <w:pPr>
        <w:pStyle w:val="ListeMaddemi2"/>
        <w:tabs>
          <w:tab w:val="clear" w:pos="643"/>
          <w:tab w:val="num" w:pos="709"/>
        </w:tabs>
        <w:spacing w:before="120" w:after="120" w:line="240" w:lineRule="auto"/>
        <w:ind w:left="709" w:hanging="355"/>
        <w:contextualSpacing w:val="0"/>
        <w:jc w:val="both"/>
        <w:rPr>
          <w:rFonts w:ascii="Times New Roman" w:hAnsi="Times New Roman" w:cs="Times New Roman"/>
          <w:sz w:val="24"/>
          <w:szCs w:val="24"/>
        </w:rPr>
      </w:pPr>
      <w:r w:rsidRPr="005E2570">
        <w:rPr>
          <w:rFonts w:ascii="Times New Roman" w:hAnsi="Times New Roman" w:cs="Times New Roman"/>
          <w:sz w:val="24"/>
          <w:szCs w:val="24"/>
        </w:rPr>
        <w:t xml:space="preserve"> Yargıtay Stratejik Planı’nın “Amaç-I: Yargıtay’ın Saydamlığını Artırmak” başlığı altında “Hedef – 2: Dosyaların öngörülen kanun yolu inceleme süreleri konusunda, tarafların bilgilendirilmesi” amacıyla derin kesitli çalışmalar yapılması,</w:t>
      </w:r>
    </w:p>
    <w:p w:rsidR="00CB74EF" w:rsidRPr="005E2570" w:rsidRDefault="00CB74EF" w:rsidP="00CB74EF">
      <w:pPr>
        <w:rPr>
          <w:rFonts w:ascii="Times New Roman" w:hAnsi="Times New Roman" w:cs="Times New Roman"/>
          <w:b/>
          <w:sz w:val="24"/>
          <w:szCs w:val="24"/>
        </w:rPr>
      </w:pPr>
    </w:p>
    <w:p w:rsidR="00CB74EF" w:rsidRPr="005E2570" w:rsidRDefault="005E2570" w:rsidP="00CB74EF">
      <w:pPr>
        <w:pStyle w:val="Balk2"/>
        <w:rPr>
          <w:rFonts w:ascii="Times New Roman" w:hAnsi="Times New Roman" w:cs="Times New Roman"/>
          <w:color w:val="auto"/>
          <w:sz w:val="24"/>
          <w:szCs w:val="24"/>
        </w:rPr>
      </w:pPr>
      <w:bookmarkStart w:id="2" w:name="_Toc497862363"/>
      <w:r w:rsidRPr="005E2570">
        <w:rPr>
          <w:rFonts w:ascii="Times New Roman" w:hAnsi="Times New Roman" w:cs="Times New Roman"/>
          <w:color w:val="auto"/>
          <w:sz w:val="24"/>
          <w:szCs w:val="24"/>
        </w:rPr>
        <w:t>II</w:t>
      </w:r>
      <w:r w:rsidR="00CB74EF" w:rsidRPr="005E2570">
        <w:rPr>
          <w:rFonts w:ascii="Times New Roman" w:hAnsi="Times New Roman" w:cs="Times New Roman"/>
          <w:color w:val="auto"/>
          <w:sz w:val="24"/>
          <w:szCs w:val="24"/>
        </w:rPr>
        <w:t>I.Projenin Yargı Reformu Stratejisi ile İlintisi</w:t>
      </w:r>
      <w:bookmarkEnd w:id="2"/>
    </w:p>
    <w:p w:rsidR="00CB74EF" w:rsidRPr="005E2570" w:rsidRDefault="00CB74EF" w:rsidP="00CB74EF">
      <w:pPr>
        <w:rPr>
          <w:rFonts w:ascii="Times New Roman" w:hAnsi="Times New Roman" w:cs="Times New Roman"/>
          <w:b/>
          <w:sz w:val="24"/>
          <w:szCs w:val="24"/>
        </w:rPr>
      </w:pPr>
      <w:r w:rsidRPr="005E2570">
        <w:rPr>
          <w:rFonts w:ascii="Times New Roman" w:hAnsi="Times New Roman" w:cs="Times New Roman"/>
          <w:b/>
          <w:sz w:val="24"/>
          <w:szCs w:val="24"/>
        </w:rPr>
        <w:tab/>
      </w:r>
    </w:p>
    <w:p w:rsidR="00CB74EF" w:rsidRPr="005E2570" w:rsidRDefault="00CB74EF" w:rsidP="00CB74EF">
      <w:pPr>
        <w:rPr>
          <w:rFonts w:ascii="Times New Roman" w:hAnsi="Times New Roman" w:cs="Times New Roman"/>
          <w:sz w:val="24"/>
          <w:szCs w:val="24"/>
        </w:rPr>
      </w:pPr>
      <w:r w:rsidRPr="005E2570">
        <w:rPr>
          <w:rFonts w:ascii="Times New Roman" w:hAnsi="Times New Roman" w:cs="Times New Roman"/>
          <w:sz w:val="24"/>
          <w:szCs w:val="24"/>
        </w:rPr>
        <w:t xml:space="preserve">Avrupa Birliği ile 2009 yılında paylaşılan Yargı Reformu Stratejisi ve Ek Eylem Planın’da; </w:t>
      </w:r>
    </w:p>
    <w:p w:rsidR="00CB74EF" w:rsidRPr="005E2570" w:rsidRDefault="00CB74EF" w:rsidP="00CB74EF">
      <w:pPr>
        <w:pStyle w:val="ListeParagraf"/>
        <w:numPr>
          <w:ilvl w:val="0"/>
          <w:numId w:val="1"/>
        </w:numPr>
        <w:ind w:left="993" w:hanging="284"/>
        <w:rPr>
          <w:rFonts w:ascii="Times New Roman" w:hAnsi="Times New Roman" w:cs="Times New Roman"/>
          <w:sz w:val="24"/>
          <w:szCs w:val="24"/>
        </w:rPr>
      </w:pPr>
      <w:r w:rsidRPr="005E2570">
        <w:rPr>
          <w:rFonts w:ascii="Times New Roman" w:hAnsi="Times New Roman" w:cs="Times New Roman"/>
          <w:sz w:val="24"/>
          <w:szCs w:val="24"/>
        </w:rPr>
        <w:t>Yargının bağımsızlığının güçlendirilmesi</w:t>
      </w:r>
    </w:p>
    <w:p w:rsidR="00CB74EF" w:rsidRPr="005E2570" w:rsidRDefault="00CB74EF" w:rsidP="00CB74EF">
      <w:pPr>
        <w:pStyle w:val="ListeParagraf"/>
        <w:numPr>
          <w:ilvl w:val="0"/>
          <w:numId w:val="1"/>
        </w:numPr>
        <w:ind w:left="993" w:hanging="284"/>
        <w:rPr>
          <w:rFonts w:ascii="Times New Roman" w:hAnsi="Times New Roman" w:cs="Times New Roman"/>
          <w:sz w:val="24"/>
          <w:szCs w:val="24"/>
        </w:rPr>
      </w:pPr>
      <w:r w:rsidRPr="005E2570">
        <w:rPr>
          <w:rFonts w:ascii="Times New Roman" w:hAnsi="Times New Roman" w:cs="Times New Roman"/>
          <w:sz w:val="24"/>
          <w:szCs w:val="24"/>
        </w:rPr>
        <w:t>Yargının tarafsızlığının geliştirilmesi</w:t>
      </w:r>
    </w:p>
    <w:p w:rsidR="00CB74EF" w:rsidRPr="005E2570" w:rsidRDefault="00CB74EF" w:rsidP="00CB74EF">
      <w:pPr>
        <w:pStyle w:val="ListeParagraf"/>
        <w:numPr>
          <w:ilvl w:val="0"/>
          <w:numId w:val="1"/>
        </w:numPr>
        <w:ind w:left="993" w:hanging="284"/>
        <w:rPr>
          <w:rFonts w:ascii="Times New Roman" w:hAnsi="Times New Roman" w:cs="Times New Roman"/>
          <w:sz w:val="24"/>
          <w:szCs w:val="24"/>
        </w:rPr>
      </w:pPr>
      <w:r w:rsidRPr="005E2570">
        <w:rPr>
          <w:rFonts w:ascii="Times New Roman" w:hAnsi="Times New Roman" w:cs="Times New Roman"/>
          <w:sz w:val="24"/>
          <w:szCs w:val="24"/>
        </w:rPr>
        <w:t>Yargıda verimliliğin ve etkililiğin artırılması</w:t>
      </w:r>
    </w:p>
    <w:p w:rsidR="00CB74EF" w:rsidRPr="005E2570" w:rsidRDefault="00CB74EF" w:rsidP="00CB74EF">
      <w:pPr>
        <w:pStyle w:val="ListeParagraf"/>
        <w:numPr>
          <w:ilvl w:val="0"/>
          <w:numId w:val="1"/>
        </w:numPr>
        <w:ind w:left="993" w:hanging="284"/>
        <w:rPr>
          <w:rFonts w:ascii="Times New Roman" w:hAnsi="Times New Roman" w:cs="Times New Roman"/>
          <w:sz w:val="24"/>
          <w:szCs w:val="24"/>
        </w:rPr>
      </w:pPr>
      <w:r w:rsidRPr="005E2570">
        <w:rPr>
          <w:rFonts w:ascii="Times New Roman" w:hAnsi="Times New Roman" w:cs="Times New Roman"/>
          <w:sz w:val="24"/>
          <w:szCs w:val="24"/>
        </w:rPr>
        <w:t>Yargıda profesyonelliğin artırılması</w:t>
      </w:r>
    </w:p>
    <w:p w:rsidR="00CB74EF" w:rsidRPr="005E2570" w:rsidRDefault="00CB74EF" w:rsidP="00CB74EF">
      <w:pPr>
        <w:pStyle w:val="ListeParagraf"/>
        <w:numPr>
          <w:ilvl w:val="0"/>
          <w:numId w:val="1"/>
        </w:numPr>
        <w:ind w:left="993" w:hanging="284"/>
        <w:rPr>
          <w:rFonts w:ascii="Times New Roman" w:hAnsi="Times New Roman" w:cs="Times New Roman"/>
          <w:sz w:val="24"/>
          <w:szCs w:val="24"/>
        </w:rPr>
      </w:pPr>
      <w:r w:rsidRPr="005E2570">
        <w:rPr>
          <w:rFonts w:ascii="Times New Roman" w:hAnsi="Times New Roman" w:cs="Times New Roman"/>
          <w:sz w:val="24"/>
          <w:szCs w:val="24"/>
        </w:rPr>
        <w:t>Yargı idaresi sisteminin iyileştirilmesi</w:t>
      </w:r>
    </w:p>
    <w:p w:rsidR="00CB74EF" w:rsidRPr="005E2570" w:rsidRDefault="00CB74EF" w:rsidP="00CB74EF">
      <w:pPr>
        <w:pStyle w:val="ListeParagraf"/>
        <w:numPr>
          <w:ilvl w:val="0"/>
          <w:numId w:val="1"/>
        </w:numPr>
        <w:ind w:left="993" w:hanging="284"/>
        <w:rPr>
          <w:rFonts w:ascii="Times New Roman" w:hAnsi="Times New Roman" w:cs="Times New Roman"/>
          <w:sz w:val="24"/>
          <w:szCs w:val="24"/>
        </w:rPr>
      </w:pPr>
      <w:r w:rsidRPr="005E2570">
        <w:rPr>
          <w:rFonts w:ascii="Times New Roman" w:hAnsi="Times New Roman" w:cs="Times New Roman"/>
          <w:sz w:val="24"/>
          <w:szCs w:val="24"/>
        </w:rPr>
        <w:t>Yargıda güvenin artırılması</w:t>
      </w:r>
    </w:p>
    <w:p w:rsidR="00CB74EF" w:rsidRPr="005E2570" w:rsidRDefault="00CB74EF" w:rsidP="00CB74EF">
      <w:pPr>
        <w:pStyle w:val="ListeParagraf"/>
        <w:numPr>
          <w:ilvl w:val="0"/>
          <w:numId w:val="1"/>
        </w:numPr>
        <w:ind w:left="993" w:hanging="284"/>
        <w:rPr>
          <w:rFonts w:ascii="Times New Roman" w:hAnsi="Times New Roman" w:cs="Times New Roman"/>
          <w:sz w:val="24"/>
          <w:szCs w:val="24"/>
        </w:rPr>
      </w:pPr>
      <w:r w:rsidRPr="005E2570">
        <w:rPr>
          <w:rFonts w:ascii="Times New Roman" w:hAnsi="Times New Roman" w:cs="Times New Roman"/>
          <w:sz w:val="24"/>
          <w:szCs w:val="24"/>
        </w:rPr>
        <w:t>Adalete erişimin kolaylaştırılması</w:t>
      </w:r>
    </w:p>
    <w:p w:rsidR="00CB74EF" w:rsidRPr="005E2570" w:rsidRDefault="00CB74EF" w:rsidP="00CB74EF">
      <w:pPr>
        <w:pStyle w:val="ListeParagraf"/>
        <w:numPr>
          <w:ilvl w:val="0"/>
          <w:numId w:val="1"/>
        </w:numPr>
        <w:ind w:left="993" w:hanging="284"/>
        <w:rPr>
          <w:rFonts w:ascii="Times New Roman" w:hAnsi="Times New Roman" w:cs="Times New Roman"/>
          <w:sz w:val="24"/>
          <w:szCs w:val="24"/>
        </w:rPr>
      </w:pPr>
      <w:r w:rsidRPr="005E2570">
        <w:rPr>
          <w:rFonts w:ascii="Times New Roman" w:hAnsi="Times New Roman" w:cs="Times New Roman"/>
          <w:sz w:val="24"/>
          <w:szCs w:val="24"/>
        </w:rPr>
        <w:t>Anlaşmazlıkların önlenmesi için tedbirlerin etkili şekilde uygulanmasının sağlanması ve alternatif anlaşmazlık çözüm mekanizmalarının iyileştirilmesi</w:t>
      </w:r>
    </w:p>
    <w:p w:rsidR="00CB74EF" w:rsidRPr="005E2570" w:rsidRDefault="00CB74EF" w:rsidP="00CB74EF">
      <w:pPr>
        <w:pStyle w:val="ListeParagraf"/>
        <w:numPr>
          <w:ilvl w:val="0"/>
          <w:numId w:val="1"/>
        </w:numPr>
        <w:ind w:left="993" w:hanging="284"/>
        <w:rPr>
          <w:rFonts w:ascii="Times New Roman" w:hAnsi="Times New Roman" w:cs="Times New Roman"/>
          <w:sz w:val="24"/>
          <w:szCs w:val="24"/>
        </w:rPr>
      </w:pPr>
      <w:r w:rsidRPr="005E2570">
        <w:rPr>
          <w:rFonts w:ascii="Times New Roman" w:hAnsi="Times New Roman" w:cs="Times New Roman"/>
          <w:sz w:val="24"/>
          <w:szCs w:val="24"/>
        </w:rPr>
        <w:t>AB uyumlaştırılmasına yönelik mevzuat çalışmasına devam edilmesi</w:t>
      </w:r>
    </w:p>
    <w:p w:rsidR="00CB74EF" w:rsidRPr="005E2570" w:rsidRDefault="00CB74EF" w:rsidP="00CB74EF">
      <w:pPr>
        <w:ind w:left="709"/>
        <w:rPr>
          <w:rFonts w:ascii="Times New Roman" w:hAnsi="Times New Roman" w:cs="Times New Roman"/>
          <w:sz w:val="24"/>
          <w:szCs w:val="24"/>
        </w:rPr>
      </w:pPr>
      <w:r w:rsidRPr="005E2570">
        <w:rPr>
          <w:rFonts w:ascii="Times New Roman" w:hAnsi="Times New Roman" w:cs="Times New Roman"/>
          <w:sz w:val="24"/>
          <w:szCs w:val="24"/>
        </w:rPr>
        <w:t>Konularında hedefler belirlenmiş ve uygulamaya konulmuştu.</w:t>
      </w:r>
    </w:p>
    <w:p w:rsidR="00CB74EF" w:rsidRPr="005E2570" w:rsidRDefault="00CB74EF" w:rsidP="005E2570">
      <w:pPr>
        <w:jc w:val="both"/>
        <w:rPr>
          <w:rFonts w:ascii="Times New Roman" w:hAnsi="Times New Roman" w:cs="Times New Roman"/>
          <w:sz w:val="24"/>
          <w:szCs w:val="24"/>
        </w:rPr>
      </w:pPr>
      <w:r w:rsidRPr="005E2570">
        <w:rPr>
          <w:rFonts w:ascii="Times New Roman" w:hAnsi="Times New Roman" w:cs="Times New Roman"/>
          <w:sz w:val="24"/>
          <w:szCs w:val="24"/>
        </w:rPr>
        <w:tab/>
        <w:t>Ceza ve hukuk adaleti sisteminin etkinlik ve verimliliği, adalet yönetiminin kalitesi ile doğrudan ilgilidir. Adalet hizmetlerinde kalitenin belirlenmesinin en önemli ölçütleri Avrupa Konseyi Rehber İlkeleri’dir. Buna göre adli kalite; isabetli kararlar, düşük temyiz oranları, zamanında verilen kararlar (makul sürede yargılama), düşük sayıda teknik hukuki hata ve adil yargılanma ilkelerinin uygulanması olarak ifade edilmektedir.  Projenin eğildiği sorunlar ile amaç ve ulaşılacak sonuçlar; Yargı Reformu Stratejisi taslağında</w:t>
      </w:r>
      <w:r w:rsidRPr="005E2570">
        <w:rPr>
          <w:rStyle w:val="DipnotBavurusu"/>
          <w:rFonts w:ascii="Times New Roman" w:hAnsi="Times New Roman" w:cs="Times New Roman"/>
          <w:sz w:val="24"/>
          <w:szCs w:val="24"/>
        </w:rPr>
        <w:footnoteReference w:id="4"/>
      </w:r>
      <w:r w:rsidRPr="005E2570">
        <w:rPr>
          <w:rFonts w:ascii="Times New Roman" w:hAnsi="Times New Roman" w:cs="Times New Roman"/>
          <w:sz w:val="24"/>
          <w:szCs w:val="24"/>
        </w:rPr>
        <w:t xml:space="preserve"> benimsenen “yargı erkinin hesap verebilirliği” ile de örtüşmektedir. Yargı kararlarının kaliteli olması ve bütçe kaynaklarının doğru kullanılması, yargının hesap verebilirliği ve saydamlığı ile doğrudan bağlantılı olup, yargıya güvenin sağlanması bakımından da önem taşımaktadır. Öte yandan </w:t>
      </w:r>
      <w:r w:rsidRPr="005E2570">
        <w:rPr>
          <w:rFonts w:ascii="Times New Roman" w:hAnsi="Times New Roman" w:cs="Times New Roman"/>
          <w:sz w:val="24"/>
          <w:szCs w:val="24"/>
        </w:rPr>
        <w:lastRenderedPageBreak/>
        <w:t xml:space="preserve">dairelerin işbölümünün doğru şekilde yapılması;  içtihatların tutarlılığı ve onama oranlarının artırılması bakımından önemli olup, söz konusu taslakta öngörülen “ihtisaslaşma” ilkesi ile yakından ilgilidir.      </w:t>
      </w:r>
    </w:p>
    <w:p w:rsidR="00CB74EF" w:rsidRPr="005E2570" w:rsidRDefault="005E2570" w:rsidP="00CB74EF">
      <w:pPr>
        <w:pStyle w:val="Balk2"/>
        <w:rPr>
          <w:rFonts w:ascii="Times New Roman" w:hAnsi="Times New Roman" w:cs="Times New Roman"/>
          <w:color w:val="auto"/>
          <w:sz w:val="24"/>
          <w:szCs w:val="24"/>
        </w:rPr>
      </w:pPr>
      <w:bookmarkStart w:id="3" w:name="_Toc497862364"/>
      <w:r w:rsidRPr="005E2570">
        <w:rPr>
          <w:rFonts w:ascii="Times New Roman" w:hAnsi="Times New Roman" w:cs="Times New Roman"/>
          <w:color w:val="auto"/>
          <w:sz w:val="24"/>
          <w:szCs w:val="24"/>
        </w:rPr>
        <w:t>IV</w:t>
      </w:r>
      <w:r w:rsidR="00CB74EF" w:rsidRPr="005E2570">
        <w:rPr>
          <w:rFonts w:ascii="Times New Roman" w:hAnsi="Times New Roman" w:cs="Times New Roman"/>
          <w:color w:val="auto"/>
          <w:sz w:val="24"/>
          <w:szCs w:val="24"/>
        </w:rPr>
        <w:t>.Projenin Kalkınma Planı ile İlintisi</w:t>
      </w:r>
      <w:bookmarkEnd w:id="3"/>
    </w:p>
    <w:p w:rsidR="00CB74EF" w:rsidRPr="005E2570" w:rsidRDefault="00CB74EF" w:rsidP="00CB74EF">
      <w:pPr>
        <w:jc w:val="both"/>
        <w:rPr>
          <w:rFonts w:ascii="Times New Roman" w:hAnsi="Times New Roman" w:cs="Times New Roman"/>
          <w:sz w:val="24"/>
          <w:szCs w:val="24"/>
        </w:rPr>
      </w:pPr>
      <w:r w:rsidRPr="005E2570">
        <w:rPr>
          <w:rFonts w:ascii="Times New Roman" w:hAnsi="Times New Roman" w:cs="Times New Roman"/>
          <w:sz w:val="24"/>
          <w:szCs w:val="24"/>
        </w:rPr>
        <w:tab/>
      </w:r>
    </w:p>
    <w:p w:rsidR="00CB74EF" w:rsidRPr="005E2570" w:rsidRDefault="00CB74EF" w:rsidP="00CB74EF">
      <w:pPr>
        <w:ind w:firstLine="708"/>
        <w:jc w:val="both"/>
        <w:rPr>
          <w:rFonts w:ascii="Times New Roman" w:hAnsi="Times New Roman" w:cs="Times New Roman"/>
          <w:sz w:val="24"/>
          <w:szCs w:val="24"/>
        </w:rPr>
      </w:pPr>
      <w:r w:rsidRPr="005E2570">
        <w:rPr>
          <w:rFonts w:ascii="Times New Roman" w:hAnsi="Times New Roman" w:cs="Times New Roman"/>
          <w:sz w:val="24"/>
          <w:szCs w:val="24"/>
        </w:rPr>
        <w:t xml:space="preserve">Onuncu Kalkınma Planı (2014-2018), 30.10.1984 tarihli ve 3067 sayılı Kanun gereğince, Türkiye Büyük Millet Meclisi Genel Kurulunun 01.07.2013 tarihli 127’nci Birleşiminde onaylanmıştır. </w:t>
      </w:r>
    </w:p>
    <w:p w:rsidR="00CB74EF" w:rsidRPr="005E2570" w:rsidRDefault="00CB74EF" w:rsidP="00CB74EF">
      <w:pPr>
        <w:ind w:firstLine="708"/>
        <w:jc w:val="both"/>
        <w:rPr>
          <w:rFonts w:ascii="Times New Roman" w:hAnsi="Times New Roman" w:cs="Times New Roman"/>
          <w:sz w:val="24"/>
          <w:szCs w:val="24"/>
        </w:rPr>
      </w:pPr>
      <w:r w:rsidRPr="00CA039A">
        <w:rPr>
          <w:rFonts w:ascii="Times New Roman" w:hAnsi="Times New Roman" w:cs="Times New Roman"/>
          <w:b/>
          <w:sz w:val="24"/>
          <w:szCs w:val="24"/>
        </w:rPr>
        <w:t>Kalkınma Planının 187’nci paragrafında, yargı mensuplarının etik ilkelerinin evrensel ölçütler ışığında düzenlenmesi ve yargılama sürecinin hızlandırılması ihtiyacının devam ettiği belirtilmiştir</w:t>
      </w:r>
      <w:r w:rsidRPr="005E2570">
        <w:rPr>
          <w:rFonts w:ascii="Times New Roman" w:hAnsi="Times New Roman" w:cs="Times New Roman"/>
          <w:sz w:val="24"/>
          <w:szCs w:val="24"/>
        </w:rPr>
        <w:t>. Ayrıca, aynı Planın 188’inci paragrafında; “Evrensel hukuk normları, hukuk devleti ve hukukun üstünlüğünün gerekleri doğrultusunda yargılama sürecinin hızlı, adil, etkin, güvenli ve isabetli şekilde işlemesi adalet sisteminin temel amacıdır. Adalet ve yargının yapısı ve işleyişinde ekonomik etkinliğin de gözetilmesi esastır. İyi işleyen, etkili bir adalet sistemi ekonomide öngörülebilirliğin artması ve yatırım ortamının daha uygun bir hale gelmesi bakımından son derece önemlidir.” ifadesine yer verilerek yargı politikasındaki amaç belirlenmiştir. Yargıtay’ın iş yükünün hafifletilmesi, insan hakları standartlarına uyum kapasitesinin geliştirilmesi, ortalama yargılama süresinin kısaltılması, geri çevirme ve görevsizlik nedeniyle gönderme kararlarının azaltılmasının söz konusu Planda öngörülen hedeflerle örtüştüğü açıktır.</w:t>
      </w:r>
    </w:p>
    <w:p w:rsidR="00CB74EF" w:rsidRPr="005E2570" w:rsidRDefault="005E2570" w:rsidP="00CB74EF">
      <w:pPr>
        <w:pStyle w:val="Balk2"/>
        <w:rPr>
          <w:rFonts w:ascii="Times New Roman" w:hAnsi="Times New Roman" w:cs="Times New Roman"/>
          <w:color w:val="auto"/>
          <w:sz w:val="24"/>
          <w:szCs w:val="24"/>
        </w:rPr>
      </w:pPr>
      <w:bookmarkStart w:id="4" w:name="_Toc497862365"/>
      <w:r w:rsidRPr="005E2570">
        <w:rPr>
          <w:rFonts w:ascii="Times New Roman" w:hAnsi="Times New Roman" w:cs="Times New Roman"/>
          <w:color w:val="auto"/>
          <w:sz w:val="24"/>
          <w:szCs w:val="24"/>
        </w:rPr>
        <w:t>V</w:t>
      </w:r>
      <w:r w:rsidR="00CB74EF" w:rsidRPr="005E2570">
        <w:rPr>
          <w:rFonts w:ascii="Times New Roman" w:hAnsi="Times New Roman" w:cs="Times New Roman"/>
          <w:color w:val="auto"/>
          <w:sz w:val="24"/>
          <w:szCs w:val="24"/>
        </w:rPr>
        <w:t>.Projeninİstişari Ziyaret Raporları ile İlintisi</w:t>
      </w:r>
      <w:bookmarkEnd w:id="4"/>
    </w:p>
    <w:p w:rsidR="00CB74EF" w:rsidRPr="005E2570" w:rsidRDefault="00CB74EF" w:rsidP="00CB74EF">
      <w:pPr>
        <w:ind w:firstLine="708"/>
        <w:jc w:val="both"/>
        <w:rPr>
          <w:rFonts w:ascii="Times New Roman" w:hAnsi="Times New Roman" w:cs="Times New Roman"/>
          <w:sz w:val="24"/>
          <w:szCs w:val="24"/>
        </w:rPr>
      </w:pPr>
    </w:p>
    <w:p w:rsidR="00CB74EF" w:rsidRPr="005E2570" w:rsidRDefault="00CB74EF" w:rsidP="00CB74EF">
      <w:pPr>
        <w:ind w:firstLine="708"/>
        <w:jc w:val="both"/>
        <w:rPr>
          <w:rFonts w:ascii="Times New Roman" w:hAnsi="Times New Roman" w:cs="Times New Roman"/>
          <w:sz w:val="24"/>
          <w:szCs w:val="24"/>
        </w:rPr>
      </w:pPr>
      <w:r w:rsidRPr="005E2570">
        <w:rPr>
          <w:rFonts w:ascii="Times New Roman" w:hAnsi="Times New Roman" w:cs="Times New Roman"/>
          <w:sz w:val="24"/>
          <w:szCs w:val="24"/>
        </w:rPr>
        <w:t>AB İstişari ziyaret raporlarında Yargıtay’ın iş yükünün hafifletilmesi, daha işlevsel bir temyiz incelemesi yapılması öteden beri vurgulanan noktalardır. Projede öngörülen amaçlar ve hedeflenen sonuçlar istişari ziyaret raporlarında vurgulanan sorunlara bu yönüyle değinmektedir. 2016 yılı Avrupa Birliği İlerleme Raporunda, Türk yargı sisteminde etkili bir insan kaynakları yönetimi bulunmadığına yönelik bir eleştiri de getirilmiş olup, Proje ile bu eleştiri de karşılanacaktır.</w:t>
      </w:r>
    </w:p>
    <w:p w:rsidR="00CB74EF" w:rsidRPr="005E2570" w:rsidRDefault="005E2570" w:rsidP="00CB74EF">
      <w:pPr>
        <w:pStyle w:val="Balk1"/>
        <w:rPr>
          <w:rFonts w:ascii="Times New Roman" w:hAnsi="Times New Roman" w:cs="Times New Roman"/>
          <w:sz w:val="24"/>
          <w:szCs w:val="24"/>
        </w:rPr>
      </w:pPr>
      <w:bookmarkStart w:id="5" w:name="_Toc497862366"/>
      <w:r w:rsidRPr="005E2570">
        <w:rPr>
          <w:rFonts w:ascii="Times New Roman" w:hAnsi="Times New Roman" w:cs="Times New Roman"/>
          <w:sz w:val="24"/>
          <w:szCs w:val="24"/>
        </w:rPr>
        <w:t>VI.Projede Öngörülen Faaliyetler</w:t>
      </w:r>
      <w:bookmarkEnd w:id="5"/>
    </w:p>
    <w:p w:rsidR="00CB74EF" w:rsidRPr="005E2570" w:rsidRDefault="00CB74EF" w:rsidP="00CB74EF">
      <w:pPr>
        <w:pStyle w:val="ListeParagraf"/>
        <w:jc w:val="both"/>
        <w:rPr>
          <w:rFonts w:ascii="Times New Roman" w:hAnsi="Times New Roman" w:cs="Times New Roman"/>
          <w:sz w:val="24"/>
          <w:szCs w:val="24"/>
          <w:lang w:eastAsia="tr-TR"/>
        </w:rPr>
      </w:pPr>
    </w:p>
    <w:p w:rsidR="00CB74EF" w:rsidRPr="005E2570" w:rsidRDefault="00CB74EF" w:rsidP="00CB74EF">
      <w:pPr>
        <w:pStyle w:val="ListeParagraf"/>
        <w:numPr>
          <w:ilvl w:val="0"/>
          <w:numId w:val="2"/>
        </w:numPr>
        <w:jc w:val="both"/>
        <w:rPr>
          <w:rFonts w:ascii="Times New Roman" w:hAnsi="Times New Roman" w:cs="Times New Roman"/>
          <w:sz w:val="24"/>
          <w:szCs w:val="24"/>
          <w:lang w:eastAsia="tr-TR"/>
        </w:rPr>
      </w:pPr>
      <w:r w:rsidRPr="005E2570">
        <w:rPr>
          <w:rFonts w:ascii="Times New Roman" w:hAnsi="Times New Roman" w:cs="Times New Roman"/>
          <w:sz w:val="24"/>
          <w:szCs w:val="24"/>
        </w:rPr>
        <w:t>Öngörülen amaçlar için eğitim programları hazırlanması,</w:t>
      </w:r>
    </w:p>
    <w:p w:rsidR="00CB74EF" w:rsidRPr="005E2570" w:rsidRDefault="00CB74EF" w:rsidP="00CB74EF">
      <w:pPr>
        <w:pStyle w:val="ListeParagraf"/>
        <w:numPr>
          <w:ilvl w:val="0"/>
          <w:numId w:val="6"/>
        </w:numPr>
        <w:ind w:left="426" w:hanging="153"/>
        <w:rPr>
          <w:rFonts w:ascii="Times New Roman" w:hAnsi="Times New Roman" w:cs="Times New Roman"/>
          <w:sz w:val="24"/>
          <w:szCs w:val="24"/>
          <w:lang w:eastAsia="tr-TR"/>
        </w:rPr>
      </w:pPr>
      <w:r w:rsidRPr="005E2570">
        <w:rPr>
          <w:rFonts w:ascii="Times New Roman" w:hAnsi="Times New Roman" w:cs="Times New Roman"/>
          <w:sz w:val="24"/>
          <w:szCs w:val="24"/>
          <w:lang w:eastAsia="tr-TR"/>
        </w:rPr>
        <w:t>Yukarıdaki çalışmalar yapılırken, mahkemelerin ihtisas alanlarının gözetilmesi,</w:t>
      </w:r>
    </w:p>
    <w:p w:rsidR="00CB74EF" w:rsidRPr="005E2570" w:rsidRDefault="00CB74EF" w:rsidP="00CB74EF">
      <w:pPr>
        <w:pStyle w:val="ListeParagraf"/>
        <w:numPr>
          <w:ilvl w:val="0"/>
          <w:numId w:val="3"/>
        </w:numPr>
        <w:ind w:left="709" w:hanging="425"/>
        <w:rPr>
          <w:rFonts w:ascii="Times New Roman" w:hAnsi="Times New Roman" w:cs="Times New Roman"/>
          <w:sz w:val="24"/>
          <w:szCs w:val="24"/>
          <w:lang w:eastAsia="tr-TR"/>
        </w:rPr>
      </w:pPr>
      <w:r w:rsidRPr="005E2570">
        <w:rPr>
          <w:rFonts w:ascii="Times New Roman" w:hAnsi="Times New Roman" w:cs="Times New Roman"/>
          <w:sz w:val="24"/>
          <w:szCs w:val="24"/>
          <w:lang w:eastAsia="tr-TR"/>
        </w:rPr>
        <w:t>Her bir daireye ilişkin geri çevirme nedenlerinin tespit edilmesi,</w:t>
      </w:r>
    </w:p>
    <w:p w:rsidR="00CB74EF" w:rsidRPr="005E2570" w:rsidRDefault="00CB74EF" w:rsidP="00CB74EF">
      <w:pPr>
        <w:pStyle w:val="ListeParagraf"/>
        <w:numPr>
          <w:ilvl w:val="0"/>
          <w:numId w:val="3"/>
        </w:numPr>
        <w:ind w:left="709" w:hanging="425"/>
        <w:rPr>
          <w:rFonts w:ascii="Times New Roman" w:hAnsi="Times New Roman" w:cs="Times New Roman"/>
          <w:sz w:val="24"/>
          <w:szCs w:val="24"/>
          <w:lang w:eastAsia="tr-TR"/>
        </w:rPr>
      </w:pPr>
      <w:r w:rsidRPr="005E2570">
        <w:rPr>
          <w:rFonts w:ascii="Times New Roman" w:hAnsi="Times New Roman" w:cs="Times New Roman"/>
          <w:sz w:val="24"/>
          <w:szCs w:val="24"/>
          <w:lang w:eastAsia="tr-TR"/>
        </w:rPr>
        <w:t>Bu eksikliklerin nedenlerinin araştırılması,</w:t>
      </w:r>
    </w:p>
    <w:p w:rsidR="00CB74EF" w:rsidRPr="005E2570" w:rsidRDefault="00CB74EF" w:rsidP="00CB74EF">
      <w:pPr>
        <w:pStyle w:val="ListeParagraf"/>
        <w:numPr>
          <w:ilvl w:val="0"/>
          <w:numId w:val="3"/>
        </w:numPr>
        <w:ind w:left="709" w:hanging="425"/>
        <w:rPr>
          <w:rFonts w:ascii="Times New Roman" w:hAnsi="Times New Roman" w:cs="Times New Roman"/>
          <w:sz w:val="24"/>
          <w:szCs w:val="24"/>
          <w:lang w:eastAsia="tr-TR"/>
        </w:rPr>
      </w:pPr>
      <w:r w:rsidRPr="005E2570">
        <w:rPr>
          <w:rFonts w:ascii="Times New Roman" w:hAnsi="Times New Roman" w:cs="Times New Roman"/>
          <w:sz w:val="24"/>
          <w:szCs w:val="24"/>
          <w:lang w:eastAsia="tr-TR"/>
        </w:rPr>
        <w:t>Bu eksiklikler konusunda personel ile tetkik hakimi ve Yargıtay Cumhuriyet savcılarına yönelik eğitim çalışması yapılması,</w:t>
      </w:r>
    </w:p>
    <w:p w:rsidR="00CB74EF" w:rsidRPr="005E2570" w:rsidRDefault="00CB74EF" w:rsidP="00CB74EF">
      <w:pPr>
        <w:pStyle w:val="ListeParagraf"/>
        <w:numPr>
          <w:ilvl w:val="0"/>
          <w:numId w:val="3"/>
        </w:numPr>
        <w:ind w:left="709" w:hanging="425"/>
        <w:rPr>
          <w:rFonts w:ascii="Times New Roman" w:hAnsi="Times New Roman" w:cs="Times New Roman"/>
          <w:sz w:val="24"/>
          <w:szCs w:val="24"/>
          <w:lang w:eastAsia="tr-TR"/>
        </w:rPr>
      </w:pPr>
      <w:r w:rsidRPr="005E2570">
        <w:rPr>
          <w:rFonts w:ascii="Times New Roman" w:hAnsi="Times New Roman" w:cs="Times New Roman"/>
          <w:sz w:val="24"/>
          <w:szCs w:val="24"/>
          <w:lang w:eastAsia="tr-TR"/>
        </w:rPr>
        <w:t>Konuyla ilgili rehber kitapçıklar hazırlanması,</w:t>
      </w:r>
    </w:p>
    <w:p w:rsidR="00CB74EF" w:rsidRPr="005E2570" w:rsidRDefault="00CB74EF" w:rsidP="00CB74EF">
      <w:pPr>
        <w:pStyle w:val="ListeParagraf"/>
        <w:numPr>
          <w:ilvl w:val="0"/>
          <w:numId w:val="3"/>
        </w:numPr>
        <w:ind w:left="709" w:hanging="425"/>
        <w:rPr>
          <w:rFonts w:ascii="Times New Roman" w:hAnsi="Times New Roman" w:cs="Times New Roman"/>
          <w:sz w:val="24"/>
          <w:szCs w:val="24"/>
          <w:lang w:eastAsia="tr-TR"/>
        </w:rPr>
      </w:pPr>
      <w:r w:rsidRPr="005E2570">
        <w:rPr>
          <w:rFonts w:ascii="Times New Roman" w:hAnsi="Times New Roman" w:cs="Times New Roman"/>
          <w:sz w:val="24"/>
          <w:szCs w:val="24"/>
          <w:lang w:eastAsia="tr-TR"/>
        </w:rPr>
        <w:t>Konuya ilişkin uzaktan eğitimler verilmesi,</w:t>
      </w:r>
    </w:p>
    <w:p w:rsidR="00CB74EF" w:rsidRPr="005E2570" w:rsidRDefault="00CB74EF" w:rsidP="00CB74EF">
      <w:pPr>
        <w:pStyle w:val="ListeParagraf"/>
        <w:numPr>
          <w:ilvl w:val="0"/>
          <w:numId w:val="3"/>
        </w:numPr>
        <w:ind w:left="709" w:hanging="425"/>
        <w:rPr>
          <w:rFonts w:ascii="Times New Roman" w:hAnsi="Times New Roman" w:cs="Times New Roman"/>
          <w:sz w:val="24"/>
          <w:szCs w:val="24"/>
          <w:lang w:eastAsia="tr-TR"/>
        </w:rPr>
      </w:pPr>
      <w:r w:rsidRPr="005E2570">
        <w:rPr>
          <w:rFonts w:ascii="Times New Roman" w:hAnsi="Times New Roman" w:cs="Times New Roman"/>
          <w:sz w:val="24"/>
          <w:szCs w:val="24"/>
          <w:lang w:eastAsia="tr-TR"/>
        </w:rPr>
        <w:t>UYAP üzerinden gerekli uyarı sistemlerinin devreye sokulması,</w:t>
      </w:r>
    </w:p>
    <w:p w:rsidR="00CB74EF" w:rsidRPr="005E2570" w:rsidRDefault="00CB74EF" w:rsidP="00CB74EF">
      <w:pPr>
        <w:pStyle w:val="ListeParagraf"/>
        <w:numPr>
          <w:ilvl w:val="0"/>
          <w:numId w:val="3"/>
        </w:numPr>
        <w:ind w:left="709" w:hanging="425"/>
        <w:rPr>
          <w:rFonts w:ascii="Times New Roman" w:hAnsi="Times New Roman" w:cs="Times New Roman"/>
          <w:sz w:val="24"/>
          <w:szCs w:val="24"/>
          <w:lang w:eastAsia="tr-TR"/>
        </w:rPr>
      </w:pPr>
      <w:r w:rsidRPr="005E2570">
        <w:rPr>
          <w:rFonts w:ascii="Times New Roman" w:hAnsi="Times New Roman" w:cs="Times New Roman"/>
          <w:sz w:val="24"/>
          <w:szCs w:val="24"/>
          <w:lang w:eastAsia="tr-TR"/>
        </w:rPr>
        <w:t>Takip ve denetim sisteminin işlevsel hale getirilmesi,</w:t>
      </w:r>
    </w:p>
    <w:p w:rsidR="00CB74EF" w:rsidRPr="005E2570" w:rsidRDefault="00CB74EF" w:rsidP="00CB74EF">
      <w:pPr>
        <w:pStyle w:val="ListeParagraf"/>
        <w:numPr>
          <w:ilvl w:val="0"/>
          <w:numId w:val="3"/>
        </w:numPr>
        <w:ind w:left="709" w:hanging="425"/>
        <w:rPr>
          <w:rFonts w:ascii="Times New Roman" w:hAnsi="Times New Roman" w:cs="Times New Roman"/>
          <w:sz w:val="24"/>
          <w:szCs w:val="24"/>
          <w:lang w:eastAsia="tr-TR"/>
        </w:rPr>
      </w:pPr>
      <w:r w:rsidRPr="005E2570">
        <w:rPr>
          <w:rFonts w:ascii="Times New Roman" w:hAnsi="Times New Roman" w:cs="Times New Roman"/>
          <w:sz w:val="24"/>
          <w:szCs w:val="24"/>
          <w:lang w:eastAsia="tr-TR"/>
        </w:rPr>
        <w:lastRenderedPageBreak/>
        <w:t>İş akışındaki kopuklukların önlenmesi (örneğin UYAP’tan görülemeyen bazı evrakın görülmesinin sağlanması, eksik belgelerin dosya geri çevrilmeden UYAP üzerinden tamamlanması gibi)</w:t>
      </w:r>
    </w:p>
    <w:p w:rsidR="00CB74EF" w:rsidRPr="005E2570" w:rsidRDefault="00CB74EF" w:rsidP="00CB74EF">
      <w:pPr>
        <w:ind w:firstLine="708"/>
        <w:jc w:val="both"/>
        <w:rPr>
          <w:rFonts w:ascii="Times New Roman" w:hAnsi="Times New Roman" w:cs="Times New Roman"/>
          <w:sz w:val="24"/>
          <w:szCs w:val="24"/>
          <w:lang w:eastAsia="tr-TR"/>
        </w:rPr>
      </w:pPr>
      <w:r w:rsidRPr="005E2570">
        <w:rPr>
          <w:rFonts w:ascii="Times New Roman" w:hAnsi="Times New Roman" w:cs="Times New Roman"/>
          <w:sz w:val="24"/>
          <w:szCs w:val="24"/>
          <w:lang w:eastAsia="tr-TR"/>
        </w:rPr>
        <w:t>Yukarıda tanımlanan işlerin yapılması amacıyla toplantı ve seminerler düzenlenmesi, farkındalık uyandırılması ve uygulayıcıların yararlanacağı pratik bilgileri içeren kitapçıkları</w:t>
      </w:r>
      <w:r w:rsidR="005E2570" w:rsidRPr="005E2570">
        <w:rPr>
          <w:rFonts w:ascii="Times New Roman" w:hAnsi="Times New Roman" w:cs="Times New Roman"/>
          <w:sz w:val="24"/>
          <w:szCs w:val="24"/>
          <w:lang w:eastAsia="tr-TR"/>
        </w:rPr>
        <w:t>n oluşturulması öngörülmektedir.</w:t>
      </w:r>
    </w:p>
    <w:p w:rsidR="00CB74EF" w:rsidRDefault="00CA039A" w:rsidP="00CB74EF">
      <w:pPr>
        <w:rPr>
          <w:rFonts w:ascii="Times New Roman" w:hAnsi="Times New Roman" w:cs="Times New Roman"/>
          <w:sz w:val="24"/>
          <w:szCs w:val="24"/>
        </w:rPr>
      </w:pPr>
      <w:r>
        <w:rPr>
          <w:sz w:val="24"/>
          <w:szCs w:val="24"/>
        </w:rPr>
        <w:tab/>
      </w:r>
      <w:r>
        <w:rPr>
          <w:rFonts w:ascii="Times New Roman" w:hAnsi="Times New Roman" w:cs="Times New Roman"/>
          <w:sz w:val="24"/>
          <w:szCs w:val="24"/>
        </w:rPr>
        <w:t>Bilgilerinize arz ederim. 14.5.2018</w:t>
      </w:r>
    </w:p>
    <w:p w:rsidR="00CA039A" w:rsidRDefault="00CA039A" w:rsidP="00CB74EF">
      <w:pPr>
        <w:rPr>
          <w:rFonts w:ascii="Times New Roman" w:hAnsi="Times New Roman" w:cs="Times New Roman"/>
          <w:sz w:val="24"/>
          <w:szCs w:val="24"/>
        </w:rPr>
      </w:pPr>
    </w:p>
    <w:p w:rsidR="00CA039A" w:rsidRPr="00CA039A" w:rsidRDefault="00CA039A" w:rsidP="00CA039A">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039A">
        <w:rPr>
          <w:rFonts w:ascii="Times New Roman" w:hAnsi="Times New Roman" w:cs="Times New Roman"/>
          <w:b/>
          <w:sz w:val="24"/>
          <w:szCs w:val="24"/>
        </w:rPr>
        <w:tab/>
        <w:t>Dr. Mustafa SALDIRIM</w:t>
      </w:r>
    </w:p>
    <w:p w:rsidR="00CA039A" w:rsidRPr="00CA039A" w:rsidRDefault="00CA039A" w:rsidP="00CA039A">
      <w:pPr>
        <w:spacing w:after="0"/>
        <w:rPr>
          <w:rFonts w:ascii="Times New Roman" w:hAnsi="Times New Roman" w:cs="Times New Roman"/>
          <w:b/>
          <w:sz w:val="24"/>
          <w:szCs w:val="24"/>
        </w:rPr>
      </w:pPr>
      <w:r w:rsidRPr="00CA039A">
        <w:rPr>
          <w:rFonts w:ascii="Times New Roman" w:hAnsi="Times New Roman" w:cs="Times New Roman"/>
          <w:b/>
          <w:sz w:val="24"/>
          <w:szCs w:val="24"/>
        </w:rPr>
        <w:tab/>
      </w:r>
      <w:r w:rsidRPr="00CA039A">
        <w:rPr>
          <w:rFonts w:ascii="Times New Roman" w:hAnsi="Times New Roman" w:cs="Times New Roman"/>
          <w:b/>
          <w:sz w:val="24"/>
          <w:szCs w:val="24"/>
        </w:rPr>
        <w:tab/>
      </w:r>
      <w:r w:rsidRPr="00CA039A">
        <w:rPr>
          <w:rFonts w:ascii="Times New Roman" w:hAnsi="Times New Roman" w:cs="Times New Roman"/>
          <w:b/>
          <w:sz w:val="24"/>
          <w:szCs w:val="24"/>
        </w:rPr>
        <w:tab/>
      </w:r>
      <w:r w:rsidRPr="00CA039A">
        <w:rPr>
          <w:rFonts w:ascii="Times New Roman" w:hAnsi="Times New Roman" w:cs="Times New Roman"/>
          <w:b/>
          <w:sz w:val="24"/>
          <w:szCs w:val="24"/>
        </w:rPr>
        <w:tab/>
      </w:r>
      <w:r w:rsidRPr="00CA039A">
        <w:rPr>
          <w:rFonts w:ascii="Times New Roman" w:hAnsi="Times New Roman" w:cs="Times New Roman"/>
          <w:b/>
          <w:sz w:val="24"/>
          <w:szCs w:val="24"/>
        </w:rPr>
        <w:tab/>
      </w:r>
      <w:r w:rsidRPr="00CA039A">
        <w:rPr>
          <w:rFonts w:ascii="Times New Roman" w:hAnsi="Times New Roman" w:cs="Times New Roman"/>
          <w:b/>
          <w:sz w:val="24"/>
          <w:szCs w:val="24"/>
        </w:rPr>
        <w:tab/>
      </w:r>
      <w:r w:rsidRPr="00CA039A">
        <w:rPr>
          <w:rFonts w:ascii="Times New Roman" w:hAnsi="Times New Roman" w:cs="Times New Roman"/>
          <w:b/>
          <w:sz w:val="24"/>
          <w:szCs w:val="24"/>
        </w:rPr>
        <w:tab/>
        <w:t xml:space="preserve">  Yargıtay Genel Sekrter Yardımcısı</w:t>
      </w:r>
    </w:p>
    <w:p w:rsidR="00CA039A" w:rsidRPr="00CA039A" w:rsidRDefault="00CA039A" w:rsidP="00CB74EF">
      <w:pPr>
        <w:rPr>
          <w:rFonts w:ascii="Times New Roman" w:hAnsi="Times New Roman" w:cs="Times New Roman"/>
          <w:sz w:val="24"/>
          <w:szCs w:val="24"/>
        </w:rPr>
      </w:pPr>
    </w:p>
    <w:p w:rsidR="00C84C9D" w:rsidRPr="005E2570" w:rsidRDefault="00C84C9D">
      <w:pPr>
        <w:rPr>
          <w:sz w:val="24"/>
          <w:szCs w:val="24"/>
        </w:rPr>
      </w:pPr>
    </w:p>
    <w:sectPr w:rsidR="00C84C9D" w:rsidRPr="005E2570" w:rsidSect="00DA6FC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5BD" w:rsidRDefault="008A65BD" w:rsidP="00CB74EF">
      <w:pPr>
        <w:spacing w:after="0" w:line="240" w:lineRule="auto"/>
      </w:pPr>
      <w:r>
        <w:separator/>
      </w:r>
    </w:p>
  </w:endnote>
  <w:endnote w:type="continuationSeparator" w:id="1">
    <w:p w:rsidR="008A65BD" w:rsidRDefault="008A65BD" w:rsidP="00CB7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227"/>
      <w:docPartObj>
        <w:docPartGallery w:val="Page Numbers (Bottom of Page)"/>
        <w:docPartUnique/>
      </w:docPartObj>
    </w:sdtPr>
    <w:sdtContent>
      <w:p w:rsidR="00753FD1" w:rsidRDefault="00520252">
        <w:pPr>
          <w:pStyle w:val="Altbilgi"/>
          <w:jc w:val="right"/>
        </w:pPr>
        <w:r>
          <w:fldChar w:fldCharType="begin"/>
        </w:r>
        <w:r w:rsidR="00150A8E">
          <w:instrText xml:space="preserve"> PAGE   \* MERGEFORMAT </w:instrText>
        </w:r>
        <w:r>
          <w:fldChar w:fldCharType="separate"/>
        </w:r>
        <w:r w:rsidR="009B62CA">
          <w:rPr>
            <w:noProof/>
          </w:rPr>
          <w:t>5</w:t>
        </w:r>
        <w:r>
          <w:rPr>
            <w:noProof/>
          </w:rPr>
          <w:fldChar w:fldCharType="end"/>
        </w:r>
      </w:p>
    </w:sdtContent>
  </w:sdt>
  <w:p w:rsidR="00056CF2" w:rsidRDefault="008A65B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5BD" w:rsidRDefault="008A65BD" w:rsidP="00CB74EF">
      <w:pPr>
        <w:spacing w:after="0" w:line="240" w:lineRule="auto"/>
      </w:pPr>
      <w:r>
        <w:separator/>
      </w:r>
    </w:p>
  </w:footnote>
  <w:footnote w:type="continuationSeparator" w:id="1">
    <w:p w:rsidR="008A65BD" w:rsidRDefault="008A65BD" w:rsidP="00CB74EF">
      <w:pPr>
        <w:spacing w:after="0" w:line="240" w:lineRule="auto"/>
      </w:pPr>
      <w:r>
        <w:continuationSeparator/>
      </w:r>
    </w:p>
  </w:footnote>
  <w:footnote w:id="2">
    <w:p w:rsidR="00CB74EF" w:rsidRPr="00BF020F" w:rsidRDefault="00CB74EF" w:rsidP="00CB74EF">
      <w:pPr>
        <w:pStyle w:val="DipnotMetni"/>
      </w:pPr>
      <w:r w:rsidRPr="00BF020F">
        <w:rPr>
          <w:rStyle w:val="DipnotBavurusu"/>
        </w:rPr>
        <w:footnoteRef/>
      </w:r>
      <w:r w:rsidRPr="00BF020F">
        <w:t xml:space="preserve"> Türkiye’de ulusal yargı bilişim sistemi</w:t>
      </w:r>
    </w:p>
  </w:footnote>
  <w:footnote w:id="3">
    <w:p w:rsidR="00CB74EF" w:rsidRDefault="00CB74EF" w:rsidP="00CB74EF">
      <w:pPr>
        <w:pStyle w:val="DipnotMetni"/>
      </w:pPr>
      <w:r>
        <w:rPr>
          <w:rStyle w:val="DipnotBavurusu"/>
        </w:rPr>
        <w:footnoteRef/>
      </w:r>
      <w:r>
        <w:t xml:space="preserve"> “Derin kesitli” kullanıcılar grubu, kurumun en yüksek kademedeki Daire Başkanı veya Yargıtay üyesinden başlayarak, en alt kademedeki personeline, örneğin katip veya hizmetliye kadar tüm seviyelerden temsilciden oluşan bir gruptur.</w:t>
      </w:r>
    </w:p>
  </w:footnote>
  <w:footnote w:id="4">
    <w:p w:rsidR="00CB74EF" w:rsidRDefault="00CB74EF" w:rsidP="00CB74EF">
      <w:pPr>
        <w:pStyle w:val="DipnotMetni"/>
      </w:pPr>
      <w:r>
        <w:rPr>
          <w:rStyle w:val="DipnotBavurusu"/>
        </w:rPr>
        <w:footnoteRef/>
      </w:r>
      <w:r w:rsidRPr="000C2369">
        <w:rPr>
          <w:rFonts w:ascii="Times New Roman" w:hAnsi="Times New Roman" w:cs="Times New Roman"/>
        </w:rPr>
        <w:t>Bkz. Yargı Reformu Stra</w:t>
      </w:r>
      <w:r>
        <w:rPr>
          <w:rFonts w:ascii="Times New Roman" w:hAnsi="Times New Roman" w:cs="Times New Roman"/>
        </w:rPr>
        <w:t>tejisi Taslağı, Şubat 2015, s.9</w:t>
      </w:r>
      <w:r w:rsidRPr="000C2369">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8849058"/>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FFFFFF89"/>
    <w:multiLevelType w:val="singleLevel"/>
    <w:tmpl w:val="AFA84142"/>
    <w:lvl w:ilvl="0">
      <w:start w:val="1"/>
      <w:numFmt w:val="bullet"/>
      <w:pStyle w:val="ListeMaddemi"/>
      <w:lvlText w:val="■"/>
      <w:lvlJc w:val="left"/>
      <w:pPr>
        <w:tabs>
          <w:tab w:val="num" w:pos="354"/>
        </w:tabs>
        <w:ind w:left="354" w:hanging="354"/>
      </w:pPr>
      <w:rPr>
        <w:rFonts w:ascii="Times New Roman" w:hAnsi="Times New Roman" w:cs="Times New Roman" w:hint="default"/>
      </w:rPr>
    </w:lvl>
  </w:abstractNum>
  <w:abstractNum w:abstractNumId="2">
    <w:nsid w:val="09BF17F9"/>
    <w:multiLevelType w:val="hybridMultilevel"/>
    <w:tmpl w:val="A2ECC58C"/>
    <w:lvl w:ilvl="0" w:tplc="041F000B">
      <w:start w:val="1"/>
      <w:numFmt w:val="bullet"/>
      <w:lvlText w:val=""/>
      <w:lvlJc w:val="left"/>
      <w:pPr>
        <w:ind w:left="1487" w:hanging="360"/>
      </w:pPr>
      <w:rPr>
        <w:rFonts w:ascii="Wingdings" w:hAnsi="Wingdings" w:hint="default"/>
      </w:rPr>
    </w:lvl>
    <w:lvl w:ilvl="1" w:tplc="041F0003" w:tentative="1">
      <w:start w:val="1"/>
      <w:numFmt w:val="bullet"/>
      <w:lvlText w:val="o"/>
      <w:lvlJc w:val="left"/>
      <w:pPr>
        <w:ind w:left="2207" w:hanging="360"/>
      </w:pPr>
      <w:rPr>
        <w:rFonts w:ascii="Courier New" w:hAnsi="Courier New" w:cs="Courier New" w:hint="default"/>
      </w:rPr>
    </w:lvl>
    <w:lvl w:ilvl="2" w:tplc="041F0005" w:tentative="1">
      <w:start w:val="1"/>
      <w:numFmt w:val="bullet"/>
      <w:lvlText w:val=""/>
      <w:lvlJc w:val="left"/>
      <w:pPr>
        <w:ind w:left="2927" w:hanging="360"/>
      </w:pPr>
      <w:rPr>
        <w:rFonts w:ascii="Wingdings" w:hAnsi="Wingdings" w:hint="default"/>
      </w:rPr>
    </w:lvl>
    <w:lvl w:ilvl="3" w:tplc="041F0001" w:tentative="1">
      <w:start w:val="1"/>
      <w:numFmt w:val="bullet"/>
      <w:lvlText w:val=""/>
      <w:lvlJc w:val="left"/>
      <w:pPr>
        <w:ind w:left="3647" w:hanging="360"/>
      </w:pPr>
      <w:rPr>
        <w:rFonts w:ascii="Symbol" w:hAnsi="Symbol" w:hint="default"/>
      </w:rPr>
    </w:lvl>
    <w:lvl w:ilvl="4" w:tplc="041F0003" w:tentative="1">
      <w:start w:val="1"/>
      <w:numFmt w:val="bullet"/>
      <w:lvlText w:val="o"/>
      <w:lvlJc w:val="left"/>
      <w:pPr>
        <w:ind w:left="4367" w:hanging="360"/>
      </w:pPr>
      <w:rPr>
        <w:rFonts w:ascii="Courier New" w:hAnsi="Courier New" w:cs="Courier New" w:hint="default"/>
      </w:rPr>
    </w:lvl>
    <w:lvl w:ilvl="5" w:tplc="041F0005" w:tentative="1">
      <w:start w:val="1"/>
      <w:numFmt w:val="bullet"/>
      <w:lvlText w:val=""/>
      <w:lvlJc w:val="left"/>
      <w:pPr>
        <w:ind w:left="5087" w:hanging="360"/>
      </w:pPr>
      <w:rPr>
        <w:rFonts w:ascii="Wingdings" w:hAnsi="Wingdings" w:hint="default"/>
      </w:rPr>
    </w:lvl>
    <w:lvl w:ilvl="6" w:tplc="041F0001" w:tentative="1">
      <w:start w:val="1"/>
      <w:numFmt w:val="bullet"/>
      <w:lvlText w:val=""/>
      <w:lvlJc w:val="left"/>
      <w:pPr>
        <w:ind w:left="5807" w:hanging="360"/>
      </w:pPr>
      <w:rPr>
        <w:rFonts w:ascii="Symbol" w:hAnsi="Symbol" w:hint="default"/>
      </w:rPr>
    </w:lvl>
    <w:lvl w:ilvl="7" w:tplc="041F0003" w:tentative="1">
      <w:start w:val="1"/>
      <w:numFmt w:val="bullet"/>
      <w:lvlText w:val="o"/>
      <w:lvlJc w:val="left"/>
      <w:pPr>
        <w:ind w:left="6527" w:hanging="360"/>
      </w:pPr>
      <w:rPr>
        <w:rFonts w:ascii="Courier New" w:hAnsi="Courier New" w:cs="Courier New" w:hint="default"/>
      </w:rPr>
    </w:lvl>
    <w:lvl w:ilvl="8" w:tplc="041F0005" w:tentative="1">
      <w:start w:val="1"/>
      <w:numFmt w:val="bullet"/>
      <w:lvlText w:val=""/>
      <w:lvlJc w:val="left"/>
      <w:pPr>
        <w:ind w:left="7247" w:hanging="360"/>
      </w:pPr>
      <w:rPr>
        <w:rFonts w:ascii="Wingdings" w:hAnsi="Wingdings" w:hint="default"/>
      </w:rPr>
    </w:lvl>
  </w:abstractNum>
  <w:abstractNum w:abstractNumId="3">
    <w:nsid w:val="32C27A06"/>
    <w:multiLevelType w:val="hybridMultilevel"/>
    <w:tmpl w:val="8CF4F08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B35F79"/>
    <w:multiLevelType w:val="hybridMultilevel"/>
    <w:tmpl w:val="EF5A125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0C04A6C"/>
    <w:multiLevelType w:val="hybridMultilevel"/>
    <w:tmpl w:val="8DB83C4C"/>
    <w:lvl w:ilvl="0" w:tplc="041F000B">
      <w:start w:val="1"/>
      <w:numFmt w:val="bullet"/>
      <w:lvlText w:val=""/>
      <w:lvlJc w:val="left"/>
      <w:pPr>
        <w:ind w:left="1426" w:hanging="360"/>
      </w:pPr>
      <w:rPr>
        <w:rFonts w:ascii="Wingdings" w:hAnsi="Wingdings"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326F"/>
    <w:rsid w:val="00150A8E"/>
    <w:rsid w:val="00520252"/>
    <w:rsid w:val="005E2570"/>
    <w:rsid w:val="006B326F"/>
    <w:rsid w:val="008A65BD"/>
    <w:rsid w:val="009049FD"/>
    <w:rsid w:val="009B62CA"/>
    <w:rsid w:val="00C84C9D"/>
    <w:rsid w:val="00CA039A"/>
    <w:rsid w:val="00CB74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4EF"/>
    <w:pPr>
      <w:spacing w:after="200" w:line="276" w:lineRule="auto"/>
    </w:pPr>
  </w:style>
  <w:style w:type="paragraph" w:styleId="Balk1">
    <w:name w:val="heading 1"/>
    <w:basedOn w:val="Normal"/>
    <w:next w:val="Normal"/>
    <w:link w:val="Balk1Char"/>
    <w:qFormat/>
    <w:rsid w:val="00CB74EF"/>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unhideWhenUsed/>
    <w:qFormat/>
    <w:rsid w:val="00CB74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B74EF"/>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uiPriority w:val="9"/>
    <w:rsid w:val="00CB74EF"/>
    <w:rPr>
      <w:rFonts w:asciiTheme="majorHAnsi" w:eastAsiaTheme="majorEastAsia" w:hAnsiTheme="majorHAnsi" w:cstheme="majorBidi"/>
      <w:b/>
      <w:bCs/>
      <w:color w:val="5B9BD5" w:themeColor="accent1"/>
      <w:sz w:val="26"/>
      <w:szCs w:val="26"/>
    </w:rPr>
  </w:style>
  <w:style w:type="paragraph" w:styleId="ListeParagraf">
    <w:name w:val="List Paragraph"/>
    <w:basedOn w:val="Normal"/>
    <w:uiPriority w:val="34"/>
    <w:qFormat/>
    <w:rsid w:val="00CB74EF"/>
    <w:pPr>
      <w:ind w:left="720"/>
      <w:contextualSpacing/>
    </w:pPr>
  </w:style>
  <w:style w:type="paragraph" w:styleId="DipnotMetni">
    <w:name w:val="footnote text"/>
    <w:basedOn w:val="Normal"/>
    <w:link w:val="DipnotMetniChar"/>
    <w:unhideWhenUsed/>
    <w:rsid w:val="00CB74EF"/>
    <w:pPr>
      <w:spacing w:after="0" w:line="240" w:lineRule="auto"/>
    </w:pPr>
    <w:rPr>
      <w:sz w:val="20"/>
      <w:szCs w:val="20"/>
    </w:rPr>
  </w:style>
  <w:style w:type="character" w:customStyle="1" w:styleId="DipnotMetniChar">
    <w:name w:val="Dipnot Metni Char"/>
    <w:basedOn w:val="VarsaylanParagrafYazTipi"/>
    <w:link w:val="DipnotMetni"/>
    <w:rsid w:val="00CB74EF"/>
    <w:rPr>
      <w:sz w:val="20"/>
      <w:szCs w:val="20"/>
    </w:rPr>
  </w:style>
  <w:style w:type="character" w:styleId="DipnotBavurusu">
    <w:name w:val="footnote reference"/>
    <w:basedOn w:val="VarsaylanParagrafYazTipi"/>
    <w:semiHidden/>
    <w:unhideWhenUsed/>
    <w:rsid w:val="00CB74EF"/>
    <w:rPr>
      <w:vertAlign w:val="superscript"/>
    </w:rPr>
  </w:style>
  <w:style w:type="paragraph" w:styleId="Altbilgi">
    <w:name w:val="footer"/>
    <w:basedOn w:val="Normal"/>
    <w:link w:val="AltbilgiChar"/>
    <w:uiPriority w:val="99"/>
    <w:unhideWhenUsed/>
    <w:rsid w:val="00CB74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74EF"/>
  </w:style>
  <w:style w:type="paragraph" w:styleId="ListeMaddemi">
    <w:name w:val="List Bullet"/>
    <w:basedOn w:val="Normal"/>
    <w:rsid w:val="00CB74EF"/>
    <w:pPr>
      <w:numPr>
        <w:numId w:val="4"/>
      </w:numPr>
      <w:spacing w:before="120" w:after="120" w:line="240" w:lineRule="auto"/>
      <w:jc w:val="both"/>
    </w:pPr>
    <w:rPr>
      <w:rFonts w:ascii="Times New Roman" w:eastAsia="Batang" w:hAnsi="Times New Roman" w:cs="Times New Roman"/>
      <w:sz w:val="24"/>
      <w:szCs w:val="24"/>
      <w:lang w:eastAsia="ko-KR"/>
    </w:rPr>
  </w:style>
  <w:style w:type="paragraph" w:styleId="ListeMaddemi2">
    <w:name w:val="List Bullet 2"/>
    <w:basedOn w:val="Normal"/>
    <w:uiPriority w:val="99"/>
    <w:unhideWhenUsed/>
    <w:rsid w:val="00CB74EF"/>
    <w:pPr>
      <w:numPr>
        <w:numId w:val="5"/>
      </w:numPr>
      <w:contextualSpacing/>
    </w:pPr>
  </w:style>
  <w:style w:type="paragraph" w:customStyle="1" w:styleId="Default">
    <w:name w:val="Default"/>
    <w:rsid w:val="00CB74EF"/>
    <w:pPr>
      <w:autoSpaceDE w:val="0"/>
      <w:autoSpaceDN w:val="0"/>
      <w:adjustRightInd w:val="0"/>
      <w:spacing w:after="0" w:line="240" w:lineRule="auto"/>
      <w:ind w:left="360"/>
      <w:jc w:val="both"/>
    </w:pPr>
    <w:rPr>
      <w:rFonts w:ascii="Calibri" w:hAnsi="Calibri" w:cs="Calibri"/>
      <w:color w:val="000000"/>
      <w:sz w:val="24"/>
      <w:szCs w:val="24"/>
      <w:lang w:val="en-US"/>
    </w:rPr>
  </w:style>
  <w:style w:type="paragraph" w:styleId="BalonMetni">
    <w:name w:val="Balloon Text"/>
    <w:basedOn w:val="Normal"/>
    <w:link w:val="BalonMetniChar"/>
    <w:uiPriority w:val="99"/>
    <w:semiHidden/>
    <w:unhideWhenUsed/>
    <w:rsid w:val="005E25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25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YARGITAY BAŞKANLIĞI</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SALDIRIM 35478</dc:creator>
  <cp:lastModifiedBy>yr503555</cp:lastModifiedBy>
  <cp:revision>2</cp:revision>
  <cp:lastPrinted>2018-05-14T11:38:00Z</cp:lastPrinted>
  <dcterms:created xsi:type="dcterms:W3CDTF">2018-07-09T13:36:00Z</dcterms:created>
  <dcterms:modified xsi:type="dcterms:W3CDTF">2018-07-09T13:36:00Z</dcterms:modified>
</cp:coreProperties>
</file>