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0AF" w:rsidRDefault="004A30AF" w:rsidP="004A30AF">
      <w:pPr>
        <w:spacing w:line="240" w:lineRule="auto"/>
        <w:ind w:firstLine="708"/>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24-25 AĞUSTOS 2017 TARİHİNDE VİYANA’DA DÜZENLENEN “YARGIDA DÜRÜSTLÜK KÜRESEL AĞI HAZIRLIK” TOPLANTISINA</w:t>
      </w:r>
    </w:p>
    <w:p w:rsidR="004A30AF" w:rsidRDefault="004A30AF" w:rsidP="004A30AF">
      <w:pPr>
        <w:spacing w:line="240" w:lineRule="auto"/>
        <w:ind w:firstLine="708"/>
        <w:jc w:val="center"/>
        <w:rPr>
          <w:rFonts w:ascii="Times New Roman" w:hAnsi="Times New Roman" w:cs="Times New Roman"/>
          <w:b/>
          <w:sz w:val="26"/>
          <w:szCs w:val="26"/>
        </w:rPr>
      </w:pPr>
      <w:r>
        <w:rPr>
          <w:rFonts w:ascii="Times New Roman" w:hAnsi="Times New Roman" w:cs="Times New Roman"/>
          <w:b/>
          <w:sz w:val="26"/>
          <w:szCs w:val="26"/>
        </w:rPr>
        <w:t>İLİŞKİN BİLGİ NOTU</w:t>
      </w:r>
    </w:p>
    <w:p w:rsidR="004A30AF" w:rsidRDefault="004A30AF" w:rsidP="004A30AF">
      <w:pPr>
        <w:spacing w:after="0"/>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Giriş</w:t>
      </w:r>
    </w:p>
    <w:p w:rsidR="004A30AF" w:rsidRDefault="004A30AF" w:rsidP="004A30AF">
      <w:pPr>
        <w:spacing w:after="0"/>
        <w:ind w:firstLine="578"/>
        <w:rPr>
          <w:rFonts w:ascii="Times New Roman" w:hAnsi="Times New Roman" w:cs="Times New Roman"/>
          <w:sz w:val="26"/>
          <w:szCs w:val="26"/>
        </w:rPr>
      </w:pPr>
    </w:p>
    <w:p w:rsidR="004A30AF" w:rsidRDefault="004A30AF" w:rsidP="004A30AF">
      <w:pPr>
        <w:spacing w:after="0"/>
        <w:ind w:firstLine="578"/>
        <w:rPr>
          <w:rFonts w:ascii="Times New Roman" w:hAnsi="Times New Roman" w:cs="Times New Roman"/>
          <w:sz w:val="26"/>
          <w:szCs w:val="26"/>
        </w:rPr>
      </w:pPr>
      <w:r>
        <w:rPr>
          <w:rFonts w:ascii="Times New Roman" w:hAnsi="Times New Roman" w:cs="Times New Roman"/>
          <w:sz w:val="26"/>
          <w:szCs w:val="26"/>
        </w:rPr>
        <w:t xml:space="preserve">Doha’da 2015 yılında yapılan Onüçüncü BM Suç Önleme ve Ceza Adaleti Kongresi’nde, yargıda dürüstlük projesi başlatılmıştır. Projenin temel özelliklerinden birisi, Bangalor Yargı Etiği İlkeleri ve </w:t>
      </w:r>
      <w:r>
        <w:rPr>
          <w:rFonts w:ascii="Times New Roman" w:hAnsi="Times New Roman" w:cs="Times New Roman"/>
          <w:b/>
          <w:sz w:val="26"/>
          <w:szCs w:val="26"/>
        </w:rPr>
        <w:t>Türkiye’nin de taraf olduğu BM Yolsuzlukla Mücadele Sözleşmesi’nin 11. Maddesinin uygulanmasını destekleyecek</w:t>
      </w:r>
      <w:r>
        <w:rPr>
          <w:rFonts w:ascii="Times New Roman" w:hAnsi="Times New Roman" w:cs="Times New Roman"/>
          <w:sz w:val="26"/>
          <w:szCs w:val="26"/>
        </w:rPr>
        <w:t xml:space="preserve"> bir “Yargıda Dürüstlük Küresel Ağı” kurulmasıdır. Küresel Ağ faaliyete geçtiğinde; ulusal, bölgesel ve uluslararası düzeyde faaliyet gösteren çeşitli yargı ağları, yargıç dernekleri ile Yargıda Dürüstlük Grubu birbiriyle bağlantılı hale getirecektir. </w:t>
      </w:r>
    </w:p>
    <w:p w:rsidR="004A30AF" w:rsidRDefault="004A30AF" w:rsidP="004A30AF">
      <w:pPr>
        <w:spacing w:after="0"/>
        <w:rPr>
          <w:rFonts w:ascii="Times New Roman" w:hAnsi="Times New Roman" w:cs="Times New Roman"/>
          <w:sz w:val="26"/>
          <w:szCs w:val="26"/>
        </w:rPr>
      </w:pPr>
    </w:p>
    <w:p w:rsidR="004A30AF" w:rsidRDefault="004A30AF" w:rsidP="004A30AF">
      <w:pPr>
        <w:spacing w:after="0"/>
        <w:ind w:firstLine="578"/>
        <w:rPr>
          <w:rFonts w:ascii="Times New Roman" w:hAnsi="Times New Roman" w:cs="Times New Roman"/>
          <w:sz w:val="26"/>
          <w:szCs w:val="26"/>
        </w:rPr>
      </w:pPr>
      <w:r>
        <w:rPr>
          <w:rFonts w:ascii="Times New Roman" w:hAnsi="Times New Roman" w:cs="Times New Roman"/>
          <w:b/>
          <w:sz w:val="26"/>
          <w:szCs w:val="26"/>
        </w:rPr>
        <w:t>Yargıda Dürüstlük Küresel Ağı’nın 2015-2020 döneminde 35’i aşkın ülkede etik eğitimi, dürüstlük stratejilerinin geliştirilmesi ve etik ihlallerinin önlenmesine yönelik etkiler doğurması beklenmektedir.</w:t>
      </w:r>
    </w:p>
    <w:p w:rsidR="004A30AF" w:rsidRDefault="004A30AF" w:rsidP="004A30AF">
      <w:pPr>
        <w:spacing w:after="0"/>
        <w:rPr>
          <w:rFonts w:ascii="Times New Roman" w:hAnsi="Times New Roman" w:cs="Times New Roman"/>
          <w:sz w:val="26"/>
          <w:szCs w:val="26"/>
        </w:rPr>
      </w:pPr>
    </w:p>
    <w:p w:rsidR="004A30AF" w:rsidRDefault="004A30AF" w:rsidP="004A30AF">
      <w:pPr>
        <w:spacing w:after="0"/>
        <w:ind w:firstLine="578"/>
        <w:rPr>
          <w:rFonts w:ascii="Times New Roman" w:hAnsi="Times New Roman" w:cs="Times New Roman"/>
          <w:sz w:val="26"/>
          <w:szCs w:val="26"/>
        </w:rPr>
      </w:pPr>
      <w:r>
        <w:rPr>
          <w:rFonts w:ascii="Times New Roman" w:hAnsi="Times New Roman" w:cs="Times New Roman"/>
          <w:b/>
          <w:sz w:val="26"/>
          <w:szCs w:val="26"/>
        </w:rPr>
        <w:t>Bölgesel toplantılar sonucunda katılımcılar; Yargıda Dürüstlük Küresel Ağı’nın kurulmasının sağlayacağı faydalar konusunda görüş birliğine varmıştır.</w:t>
      </w:r>
    </w:p>
    <w:p w:rsidR="004A30AF" w:rsidRDefault="004A30AF" w:rsidP="004A30AF">
      <w:pPr>
        <w:spacing w:after="0"/>
        <w:rPr>
          <w:rFonts w:ascii="Times New Roman" w:hAnsi="Times New Roman" w:cs="Times New Roman"/>
          <w:sz w:val="26"/>
          <w:szCs w:val="26"/>
        </w:rPr>
      </w:pPr>
    </w:p>
    <w:p w:rsidR="004A30AF" w:rsidRDefault="004A30AF" w:rsidP="004A30AF">
      <w:pPr>
        <w:spacing w:after="0"/>
        <w:ind w:firstLine="578"/>
        <w:rPr>
          <w:rFonts w:ascii="Times New Roman" w:hAnsi="Times New Roman" w:cs="Times New Roman"/>
          <w:sz w:val="26"/>
          <w:szCs w:val="26"/>
        </w:rPr>
      </w:pPr>
      <w:r>
        <w:rPr>
          <w:rFonts w:ascii="Times New Roman" w:hAnsi="Times New Roman" w:cs="Times New Roman"/>
          <w:sz w:val="26"/>
          <w:szCs w:val="26"/>
        </w:rPr>
        <w:t xml:space="preserve">Birleşmiş Milletler Türkiye Ofisi ile birlikte yürütülen, şeffaflık ve etik konusundaki çalışmaların sonucunda Yargıtay Başkanı Sayın İsmail Rüştü CİRİT toplantıya resmi olarak davet edilmiş olup, Sayın Yargıtay Başkanımızı temsilen hazırlık toplantısına Genel Sekreter Yardımcısı Dr. Mustafa Saldırım iştirak etmiştir. </w:t>
      </w:r>
    </w:p>
    <w:p w:rsidR="004A30AF" w:rsidRDefault="004A30AF" w:rsidP="004A30AF">
      <w:pPr>
        <w:spacing w:after="0"/>
        <w:ind w:firstLine="230"/>
        <w:rPr>
          <w:rFonts w:ascii="Times New Roman" w:hAnsi="Times New Roman" w:cs="Times New Roman"/>
          <w:sz w:val="26"/>
          <w:szCs w:val="26"/>
        </w:rPr>
      </w:pPr>
    </w:p>
    <w:p w:rsidR="004A30AF" w:rsidRDefault="004A30AF" w:rsidP="004A30AF">
      <w:pPr>
        <w:spacing w:after="0"/>
        <w:ind w:firstLine="578"/>
        <w:rPr>
          <w:rFonts w:ascii="Times New Roman" w:hAnsi="Times New Roman" w:cs="Times New Roman"/>
          <w:b/>
          <w:sz w:val="26"/>
          <w:szCs w:val="26"/>
        </w:rPr>
      </w:pPr>
      <w:r>
        <w:rPr>
          <w:rFonts w:ascii="Times New Roman" w:hAnsi="Times New Roman" w:cs="Times New Roman"/>
          <w:b/>
          <w:sz w:val="26"/>
          <w:szCs w:val="26"/>
        </w:rPr>
        <w:t>Toplantının gündemi;</w:t>
      </w:r>
    </w:p>
    <w:p w:rsidR="004A30AF" w:rsidRDefault="004A30AF" w:rsidP="004A30AF">
      <w:pPr>
        <w:spacing w:after="0"/>
        <w:ind w:firstLine="230"/>
        <w:rPr>
          <w:rFonts w:ascii="Times New Roman" w:hAnsi="Times New Roman" w:cs="Times New Roman"/>
          <w:sz w:val="26"/>
          <w:szCs w:val="26"/>
        </w:rPr>
      </w:pPr>
    </w:p>
    <w:p w:rsidR="004A30AF" w:rsidRDefault="004A30AF" w:rsidP="004A30AF">
      <w:pPr>
        <w:spacing w:after="0"/>
        <w:ind w:firstLine="578"/>
        <w:rPr>
          <w:rFonts w:ascii="Times New Roman" w:hAnsi="Times New Roman" w:cs="Times New Roman"/>
          <w:sz w:val="26"/>
          <w:szCs w:val="26"/>
        </w:rPr>
      </w:pPr>
      <w:r>
        <w:rPr>
          <w:rFonts w:ascii="Times New Roman" w:hAnsi="Times New Roman" w:cs="Times New Roman"/>
          <w:sz w:val="26"/>
          <w:szCs w:val="26"/>
        </w:rPr>
        <w:t xml:space="preserve">Toplantıda devam eden çalışmalar, iyi uygulamalar ve öncelikler hakkında bilgi toplanmış, bölgedeki yargıçların ihtiyaç ve beklentileri değerlendirilmiştir. </w:t>
      </w:r>
    </w:p>
    <w:p w:rsidR="004A30AF" w:rsidRDefault="004A30AF" w:rsidP="004A30AF">
      <w:pPr>
        <w:spacing w:after="0" w:line="276" w:lineRule="auto"/>
        <w:ind w:firstLine="578"/>
        <w:rPr>
          <w:rFonts w:ascii="Times New Roman" w:hAnsi="Times New Roman" w:cs="Times New Roman"/>
          <w:b/>
          <w:sz w:val="26"/>
          <w:szCs w:val="26"/>
        </w:rPr>
      </w:pPr>
    </w:p>
    <w:p w:rsidR="004A30AF" w:rsidRDefault="004A30AF" w:rsidP="004A30AF">
      <w:pPr>
        <w:spacing w:after="0" w:line="276" w:lineRule="auto"/>
        <w:ind w:firstLine="578"/>
        <w:rPr>
          <w:rFonts w:ascii="Times New Roman" w:hAnsi="Times New Roman" w:cs="Times New Roman"/>
          <w:b/>
          <w:sz w:val="26"/>
          <w:szCs w:val="26"/>
        </w:rPr>
      </w:pPr>
      <w:r>
        <w:rPr>
          <w:rFonts w:ascii="Times New Roman" w:hAnsi="Times New Roman" w:cs="Times New Roman"/>
          <w:b/>
          <w:sz w:val="26"/>
          <w:szCs w:val="26"/>
        </w:rPr>
        <w:t>Yargıtay adına ifade edilen görüşlerde;</w:t>
      </w:r>
    </w:p>
    <w:p w:rsidR="004A30AF" w:rsidRDefault="004A30AF" w:rsidP="004A30AF">
      <w:pPr>
        <w:spacing w:after="0" w:line="276" w:lineRule="auto"/>
        <w:ind w:firstLine="296"/>
        <w:rPr>
          <w:rFonts w:ascii="Times New Roman" w:hAnsi="Times New Roman" w:cs="Times New Roman"/>
          <w:b/>
          <w:sz w:val="26"/>
          <w:szCs w:val="26"/>
        </w:rPr>
      </w:pPr>
    </w:p>
    <w:p w:rsidR="004A30AF" w:rsidRDefault="004A30AF" w:rsidP="004A30AF">
      <w:pPr>
        <w:pStyle w:val="ListeParagraf"/>
        <w:numPr>
          <w:ilvl w:val="0"/>
          <w:numId w:val="4"/>
        </w:numPr>
        <w:spacing w:after="0"/>
        <w:ind w:firstLine="296"/>
        <w:rPr>
          <w:rFonts w:ascii="Times New Roman" w:hAnsi="Times New Roman" w:cs="Times New Roman"/>
          <w:i/>
          <w:sz w:val="26"/>
          <w:szCs w:val="26"/>
        </w:rPr>
      </w:pPr>
      <w:r w:rsidRPr="00A828AC">
        <w:rPr>
          <w:rFonts w:ascii="Times New Roman" w:hAnsi="Times New Roman" w:cs="Times New Roman"/>
          <w:i/>
          <w:sz w:val="26"/>
          <w:szCs w:val="26"/>
        </w:rPr>
        <w:t>Yargıda dürüstlük konusunda, evrensel hukuk kültürü ve uluslararası bilgi birikimi ile deneyimlerin Yargıtay’ın çalışma sistemine aktarılması</w:t>
      </w:r>
      <w:r>
        <w:rPr>
          <w:rFonts w:ascii="Times New Roman" w:hAnsi="Times New Roman" w:cs="Times New Roman"/>
          <w:i/>
          <w:sz w:val="26"/>
          <w:szCs w:val="26"/>
        </w:rPr>
        <w:t>,</w:t>
      </w:r>
    </w:p>
    <w:p w:rsidR="004A30AF" w:rsidRDefault="004A30AF" w:rsidP="004A30AF">
      <w:pPr>
        <w:pStyle w:val="ListeParagraf"/>
        <w:numPr>
          <w:ilvl w:val="0"/>
          <w:numId w:val="4"/>
        </w:numPr>
        <w:spacing w:after="0"/>
        <w:ind w:firstLine="296"/>
        <w:rPr>
          <w:rFonts w:ascii="Times New Roman" w:hAnsi="Times New Roman" w:cs="Times New Roman"/>
          <w:i/>
          <w:sz w:val="26"/>
          <w:szCs w:val="26"/>
        </w:rPr>
      </w:pPr>
      <w:r>
        <w:rPr>
          <w:rFonts w:ascii="Times New Roman" w:hAnsi="Times New Roman" w:cs="Times New Roman"/>
          <w:i/>
          <w:sz w:val="26"/>
          <w:szCs w:val="26"/>
        </w:rPr>
        <w:t xml:space="preserve"> Y</w:t>
      </w:r>
      <w:r w:rsidRPr="00A828AC">
        <w:rPr>
          <w:rFonts w:ascii="Times New Roman" w:hAnsi="Times New Roman" w:cs="Times New Roman"/>
          <w:i/>
          <w:sz w:val="26"/>
          <w:szCs w:val="26"/>
        </w:rPr>
        <w:t>üksek mahkemeler</w:t>
      </w:r>
      <w:r>
        <w:rPr>
          <w:rFonts w:ascii="Times New Roman" w:hAnsi="Times New Roman" w:cs="Times New Roman"/>
          <w:i/>
          <w:sz w:val="26"/>
          <w:szCs w:val="26"/>
        </w:rPr>
        <w:t>in</w:t>
      </w:r>
      <w:r w:rsidRPr="00A828AC">
        <w:rPr>
          <w:rFonts w:ascii="Times New Roman" w:hAnsi="Times New Roman" w:cs="Times New Roman"/>
          <w:i/>
          <w:sz w:val="26"/>
          <w:szCs w:val="26"/>
        </w:rPr>
        <w:t xml:space="preserve"> en ileri </w:t>
      </w:r>
      <w:r>
        <w:rPr>
          <w:rFonts w:ascii="Times New Roman" w:hAnsi="Times New Roman" w:cs="Times New Roman"/>
          <w:i/>
          <w:sz w:val="26"/>
          <w:szCs w:val="26"/>
        </w:rPr>
        <w:t>adalet standartlarını uygulaması</w:t>
      </w:r>
      <w:r w:rsidRPr="00A828AC">
        <w:rPr>
          <w:rFonts w:ascii="Times New Roman" w:hAnsi="Times New Roman" w:cs="Times New Roman"/>
          <w:i/>
          <w:sz w:val="26"/>
          <w:szCs w:val="26"/>
        </w:rPr>
        <w:t xml:space="preserve"> ve toplumun adalete ilişkin beklentileri</w:t>
      </w:r>
      <w:r>
        <w:rPr>
          <w:rFonts w:ascii="Times New Roman" w:hAnsi="Times New Roman" w:cs="Times New Roman"/>
          <w:i/>
          <w:sz w:val="26"/>
          <w:szCs w:val="26"/>
        </w:rPr>
        <w:t>ne karşılaması için yapılması gereken çalışmalar,</w:t>
      </w:r>
    </w:p>
    <w:p w:rsidR="004A30AF" w:rsidRDefault="004A30AF" w:rsidP="004A30AF">
      <w:pPr>
        <w:pStyle w:val="ListeParagraf"/>
        <w:numPr>
          <w:ilvl w:val="0"/>
          <w:numId w:val="4"/>
        </w:numPr>
        <w:ind w:firstLine="296"/>
        <w:rPr>
          <w:rFonts w:ascii="Times New Roman" w:hAnsi="Times New Roman" w:cs="Times New Roman"/>
          <w:i/>
          <w:sz w:val="26"/>
          <w:szCs w:val="26"/>
        </w:rPr>
      </w:pPr>
      <w:r w:rsidRPr="00A828AC">
        <w:rPr>
          <w:rFonts w:ascii="Times New Roman" w:hAnsi="Times New Roman" w:cs="Times New Roman"/>
          <w:i/>
          <w:sz w:val="26"/>
          <w:szCs w:val="26"/>
        </w:rPr>
        <w:t>Yargıda Şeffaflığa İlişkin İstanbul Bildirgesi’ni</w:t>
      </w:r>
      <w:r>
        <w:rPr>
          <w:rFonts w:ascii="Times New Roman" w:hAnsi="Times New Roman" w:cs="Times New Roman"/>
          <w:i/>
          <w:sz w:val="26"/>
          <w:szCs w:val="26"/>
        </w:rPr>
        <w:t>n önemi ve yargının dürüstlüğüne sağlayacağı katkılar,</w:t>
      </w:r>
    </w:p>
    <w:p w:rsidR="004A30AF" w:rsidRPr="006E726C" w:rsidRDefault="004A30AF" w:rsidP="004A30AF">
      <w:pPr>
        <w:pStyle w:val="ListeParagraf"/>
        <w:numPr>
          <w:ilvl w:val="0"/>
          <w:numId w:val="4"/>
        </w:numPr>
        <w:ind w:firstLine="296"/>
        <w:rPr>
          <w:rFonts w:ascii="Times New Roman" w:hAnsi="Times New Roman" w:cs="Times New Roman"/>
          <w:i/>
          <w:sz w:val="26"/>
          <w:szCs w:val="26"/>
          <w:u w:val="single"/>
        </w:rPr>
      </w:pPr>
      <w:r>
        <w:rPr>
          <w:rFonts w:ascii="Times New Roman" w:hAnsi="Times New Roman" w:cs="Times New Roman"/>
          <w:i/>
          <w:sz w:val="26"/>
          <w:szCs w:val="26"/>
        </w:rPr>
        <w:lastRenderedPageBreak/>
        <w:t>Yargıtay etik ilkelerinin hazırlanmasında kurum içi ve kurum dışı şeffaflığa verilen önem ve benimsenen demokratik yöntem,</w:t>
      </w:r>
    </w:p>
    <w:p w:rsidR="004A30AF" w:rsidRDefault="004A30AF" w:rsidP="004A30AF">
      <w:pPr>
        <w:pStyle w:val="ListeParagraf"/>
        <w:numPr>
          <w:ilvl w:val="0"/>
          <w:numId w:val="4"/>
        </w:numPr>
        <w:ind w:firstLine="296"/>
        <w:rPr>
          <w:rFonts w:ascii="Times New Roman" w:hAnsi="Times New Roman" w:cs="Times New Roman"/>
          <w:i/>
          <w:sz w:val="26"/>
          <w:szCs w:val="26"/>
        </w:rPr>
      </w:pPr>
      <w:r w:rsidRPr="006E726C">
        <w:rPr>
          <w:rFonts w:ascii="Times New Roman" w:hAnsi="Times New Roman" w:cs="Times New Roman"/>
          <w:i/>
          <w:sz w:val="26"/>
          <w:szCs w:val="26"/>
        </w:rPr>
        <w:t>UNDP’nin 2016 tarihli “A Transparent and Accountable Judiciary to Delivery Just</w:t>
      </w:r>
      <w:r>
        <w:rPr>
          <w:rFonts w:ascii="Times New Roman" w:hAnsi="Times New Roman" w:cs="Times New Roman"/>
          <w:i/>
          <w:sz w:val="26"/>
          <w:szCs w:val="26"/>
        </w:rPr>
        <w:t>ice For All” isimli yayınında</w:t>
      </w:r>
      <w:r w:rsidRPr="006E726C">
        <w:rPr>
          <w:rFonts w:ascii="Times New Roman" w:hAnsi="Times New Roman" w:cs="Times New Roman"/>
          <w:i/>
          <w:sz w:val="26"/>
          <w:szCs w:val="26"/>
        </w:rPr>
        <w:t xml:space="preserve"> İstanbul Bildirgesi</w:t>
      </w:r>
      <w:r>
        <w:rPr>
          <w:rFonts w:ascii="Times New Roman" w:hAnsi="Times New Roman" w:cs="Times New Roman"/>
          <w:i/>
          <w:sz w:val="26"/>
          <w:szCs w:val="26"/>
        </w:rPr>
        <w:t>nden söz edilmesi,</w:t>
      </w:r>
    </w:p>
    <w:p w:rsidR="004A30AF" w:rsidRDefault="004A30AF" w:rsidP="004A30AF">
      <w:pPr>
        <w:pStyle w:val="ListeParagraf"/>
        <w:numPr>
          <w:ilvl w:val="0"/>
          <w:numId w:val="4"/>
        </w:numPr>
        <w:ind w:firstLine="349"/>
        <w:rPr>
          <w:rFonts w:ascii="Times New Roman" w:hAnsi="Times New Roman" w:cs="Times New Roman"/>
          <w:i/>
          <w:sz w:val="26"/>
          <w:szCs w:val="26"/>
        </w:rPr>
      </w:pPr>
      <w:r>
        <w:rPr>
          <w:rFonts w:ascii="Times New Roman" w:hAnsi="Times New Roman" w:cs="Times New Roman"/>
          <w:i/>
          <w:sz w:val="26"/>
          <w:szCs w:val="26"/>
        </w:rPr>
        <w:t>Şeffaflığın</w:t>
      </w:r>
      <w:r w:rsidRPr="006E726C">
        <w:rPr>
          <w:rFonts w:ascii="Times New Roman" w:hAnsi="Times New Roman" w:cs="Times New Roman"/>
          <w:i/>
          <w:sz w:val="26"/>
          <w:szCs w:val="26"/>
        </w:rPr>
        <w:t>, halkın güveninin kazanılmasınd</w:t>
      </w:r>
      <w:r>
        <w:rPr>
          <w:rFonts w:ascii="Times New Roman" w:hAnsi="Times New Roman" w:cs="Times New Roman"/>
          <w:i/>
          <w:sz w:val="26"/>
          <w:szCs w:val="26"/>
        </w:rPr>
        <w:t>a ve yargının dürüst olarak algılanmasında en önemli araçlardan biri olması ve yargı ile toplum arasında bir köprü işlevi görmesi nedeniyle yargıda dürüstlüğü destekleyeceği,</w:t>
      </w:r>
    </w:p>
    <w:p w:rsidR="004A30AF" w:rsidRDefault="004A30AF" w:rsidP="004A30AF">
      <w:pPr>
        <w:pStyle w:val="ListeParagraf"/>
        <w:numPr>
          <w:ilvl w:val="0"/>
          <w:numId w:val="4"/>
        </w:numPr>
        <w:ind w:firstLine="349"/>
        <w:rPr>
          <w:rFonts w:ascii="Times New Roman" w:hAnsi="Times New Roman" w:cs="Times New Roman"/>
          <w:i/>
          <w:sz w:val="26"/>
          <w:szCs w:val="26"/>
        </w:rPr>
      </w:pPr>
      <w:r>
        <w:rPr>
          <w:rFonts w:ascii="Times New Roman" w:hAnsi="Times New Roman" w:cs="Times New Roman"/>
          <w:i/>
          <w:sz w:val="26"/>
          <w:szCs w:val="26"/>
        </w:rPr>
        <w:t>Yargı etiğinin; yargı bağımsızlığı, dürüstlük, tarafsızlık gibi kavramları da içeren bir değerler sistemi olduğu,</w:t>
      </w:r>
    </w:p>
    <w:p w:rsidR="004A30AF" w:rsidRDefault="004A30AF" w:rsidP="004A30AF">
      <w:pPr>
        <w:pStyle w:val="ListeParagraf"/>
        <w:numPr>
          <w:ilvl w:val="0"/>
          <w:numId w:val="4"/>
        </w:numPr>
        <w:ind w:firstLine="349"/>
        <w:rPr>
          <w:rFonts w:ascii="Times New Roman" w:hAnsi="Times New Roman" w:cs="Times New Roman"/>
          <w:i/>
          <w:sz w:val="26"/>
          <w:szCs w:val="26"/>
        </w:rPr>
      </w:pPr>
      <w:r>
        <w:rPr>
          <w:rFonts w:ascii="Times New Roman" w:hAnsi="Times New Roman" w:cs="Times New Roman"/>
          <w:i/>
          <w:sz w:val="26"/>
          <w:szCs w:val="26"/>
        </w:rPr>
        <w:t>Yargı bağımsızlığına ve yargıda dürüstlüğe odaklanırken, bu kavramları destekleyen ve tamamlayan demokratik yönetişim ve şeffaflık gibi kavramların da ihmal edilmemesi gerektiği,</w:t>
      </w:r>
    </w:p>
    <w:p w:rsidR="004A30AF" w:rsidRDefault="004A30AF" w:rsidP="004A30AF">
      <w:pPr>
        <w:pStyle w:val="ListeParagraf"/>
        <w:numPr>
          <w:ilvl w:val="0"/>
          <w:numId w:val="4"/>
        </w:numPr>
        <w:ind w:firstLine="349"/>
        <w:rPr>
          <w:rFonts w:ascii="Times New Roman" w:hAnsi="Times New Roman" w:cs="Times New Roman"/>
          <w:i/>
          <w:sz w:val="26"/>
          <w:szCs w:val="26"/>
        </w:rPr>
      </w:pPr>
      <w:r>
        <w:rPr>
          <w:rFonts w:ascii="Times New Roman" w:hAnsi="Times New Roman" w:cs="Times New Roman"/>
          <w:i/>
          <w:sz w:val="26"/>
          <w:szCs w:val="26"/>
        </w:rPr>
        <w:t>Avrupa İnsan Hakları Mahkemesi “Yüksek Mahkemeler Ağı”na ilişkin Yargıtay deneyimi,”</w:t>
      </w:r>
    </w:p>
    <w:p w:rsidR="004A30AF" w:rsidRPr="00C06012" w:rsidRDefault="004A30AF" w:rsidP="004A30AF">
      <w:pPr>
        <w:pStyle w:val="ListeParagraf"/>
        <w:ind w:left="1843"/>
        <w:rPr>
          <w:rFonts w:ascii="Times New Roman" w:hAnsi="Times New Roman" w:cs="Times New Roman"/>
          <w:b/>
          <w:sz w:val="26"/>
          <w:szCs w:val="26"/>
        </w:rPr>
      </w:pPr>
      <w:r w:rsidRPr="00C06012">
        <w:rPr>
          <w:rFonts w:ascii="Times New Roman" w:hAnsi="Times New Roman" w:cs="Times New Roman"/>
          <w:b/>
          <w:sz w:val="26"/>
          <w:szCs w:val="26"/>
        </w:rPr>
        <w:t>üzerinde durulmuştur.</w:t>
      </w:r>
    </w:p>
    <w:p w:rsidR="004A30AF" w:rsidRDefault="004A30AF" w:rsidP="004A30AF">
      <w:pPr>
        <w:spacing w:after="160" w:line="254" w:lineRule="auto"/>
        <w:ind w:left="0" w:right="0" w:firstLine="708"/>
        <w:jc w:val="left"/>
        <w:rPr>
          <w:rFonts w:ascii="Times New Roman" w:hAnsi="Times New Roman" w:cs="Times New Roman"/>
          <w:b/>
          <w:sz w:val="26"/>
          <w:szCs w:val="26"/>
        </w:rPr>
      </w:pPr>
      <w:r>
        <w:rPr>
          <w:rFonts w:ascii="Times New Roman" w:hAnsi="Times New Roman" w:cs="Times New Roman"/>
          <w:b/>
          <w:sz w:val="26"/>
          <w:szCs w:val="26"/>
        </w:rPr>
        <w:t>İkinci günkü grup çalışmalarında özetle;</w:t>
      </w:r>
    </w:p>
    <w:p w:rsidR="004A30AF" w:rsidRDefault="004A30AF" w:rsidP="004A30AF">
      <w:pPr>
        <w:spacing w:line="240" w:lineRule="auto"/>
        <w:ind w:firstLine="708"/>
        <w:rPr>
          <w:rFonts w:ascii="Times New Roman" w:hAnsi="Times New Roman" w:cs="Times New Roman"/>
          <w:i/>
          <w:sz w:val="26"/>
          <w:szCs w:val="26"/>
        </w:rPr>
      </w:pPr>
      <w:r>
        <w:rPr>
          <w:rFonts w:ascii="Times New Roman" w:hAnsi="Times New Roman" w:cs="Times New Roman"/>
          <w:sz w:val="26"/>
          <w:szCs w:val="26"/>
        </w:rPr>
        <w:t>Kurulması düşünülen “Yargıda Dürüstlük Küresel Ağı” konusunda Avrupa İnsan Hakları Mahkemesi tarafından oluşturulan “Yüksek Mahkemeler Ağı”na ilişkin Yargıtay deneyimi paylaşılmış ve sistemin işleyişi hakkında bilgi verilerek, öneriler sunulmuştur.</w:t>
      </w:r>
    </w:p>
    <w:p w:rsidR="004A30AF" w:rsidRPr="00C06012" w:rsidRDefault="004A30AF" w:rsidP="004A30AF">
      <w:pPr>
        <w:spacing w:line="240" w:lineRule="auto"/>
        <w:ind w:firstLine="708"/>
        <w:rPr>
          <w:rFonts w:ascii="Times New Roman" w:hAnsi="Times New Roman" w:cs="Times New Roman"/>
          <w:i/>
          <w:sz w:val="26"/>
          <w:szCs w:val="26"/>
        </w:rPr>
      </w:pPr>
      <w:r w:rsidRPr="00C06012">
        <w:rPr>
          <w:rFonts w:ascii="Times New Roman" w:hAnsi="Times New Roman" w:cs="Times New Roman"/>
          <w:sz w:val="26"/>
          <w:szCs w:val="26"/>
        </w:rPr>
        <w:t>Yargıtay’ın evrensel adalet standartlarında yürüttüğü etik çalışmaları hakkında UNOCD yetkil</w:t>
      </w:r>
      <w:r>
        <w:rPr>
          <w:rFonts w:ascii="Times New Roman" w:hAnsi="Times New Roman" w:cs="Times New Roman"/>
          <w:sz w:val="26"/>
          <w:szCs w:val="26"/>
        </w:rPr>
        <w:t>il</w:t>
      </w:r>
      <w:r w:rsidRPr="00C06012">
        <w:rPr>
          <w:rFonts w:ascii="Times New Roman" w:hAnsi="Times New Roman" w:cs="Times New Roman"/>
          <w:sz w:val="26"/>
          <w:szCs w:val="26"/>
        </w:rPr>
        <w:t xml:space="preserve">erine bilgi verilmiş ve bu </w:t>
      </w:r>
      <w:r>
        <w:rPr>
          <w:rFonts w:ascii="Times New Roman" w:hAnsi="Times New Roman" w:cs="Times New Roman"/>
          <w:sz w:val="26"/>
          <w:szCs w:val="26"/>
        </w:rPr>
        <w:t>yıl içinde kabul edilmesi beklenen</w:t>
      </w:r>
      <w:r w:rsidRPr="00C06012">
        <w:rPr>
          <w:rFonts w:ascii="Times New Roman" w:hAnsi="Times New Roman" w:cs="Times New Roman"/>
          <w:sz w:val="26"/>
          <w:szCs w:val="26"/>
        </w:rPr>
        <w:t xml:space="preserve"> Yargıtay Etik İlkeler Taslağı da paylaşılmıştır.</w:t>
      </w:r>
    </w:p>
    <w:p w:rsidR="004A30AF" w:rsidRDefault="004A30AF" w:rsidP="004A30AF">
      <w:pPr>
        <w:ind w:left="0" w:firstLine="708"/>
        <w:rPr>
          <w:rFonts w:ascii="Times New Roman" w:hAnsi="Times New Roman" w:cs="Times New Roman"/>
          <w:sz w:val="26"/>
          <w:szCs w:val="26"/>
        </w:rPr>
      </w:pPr>
      <w:r>
        <w:rPr>
          <w:rFonts w:ascii="Times New Roman" w:hAnsi="Times New Roman" w:cs="Times New Roman"/>
          <w:sz w:val="26"/>
          <w:szCs w:val="26"/>
        </w:rPr>
        <w:t>Toplantıya katılan çeşitli ülkelerin yüksek mahkeme başkanı, yüksek mahkeme üyeleri, Avrupa Konseyi ve diğer uluslararası kuruluş temsilcileri ile görüşülerek, İstanbul Bildirgesi’nin tanıtımı ve önemi konusunda kendilerine bilgi verilmiştir.31.8.2017.</w:t>
      </w:r>
    </w:p>
    <w:p w:rsidR="004A30AF" w:rsidRDefault="004A30AF" w:rsidP="004A30AF"/>
    <w:p w:rsidR="0055099A" w:rsidRPr="004A30AF" w:rsidRDefault="0055099A" w:rsidP="004A30AF"/>
    <w:sectPr w:rsidR="0055099A" w:rsidRPr="004A30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11" w:rsidRDefault="00624F11" w:rsidP="00A828AC">
      <w:pPr>
        <w:spacing w:after="0" w:line="240" w:lineRule="auto"/>
      </w:pPr>
      <w:r>
        <w:separator/>
      </w:r>
    </w:p>
  </w:endnote>
  <w:endnote w:type="continuationSeparator" w:id="0">
    <w:p w:rsidR="00624F11" w:rsidRDefault="00624F11" w:rsidP="00A8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11" w:rsidRDefault="00624F11" w:rsidP="00A828AC">
      <w:pPr>
        <w:spacing w:after="0" w:line="240" w:lineRule="auto"/>
      </w:pPr>
      <w:r>
        <w:separator/>
      </w:r>
    </w:p>
  </w:footnote>
  <w:footnote w:type="continuationSeparator" w:id="0">
    <w:p w:rsidR="00624F11" w:rsidRDefault="00624F11" w:rsidP="00A82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70703"/>
    <w:multiLevelType w:val="hybridMultilevel"/>
    <w:tmpl w:val="4D005E0A"/>
    <w:lvl w:ilvl="0" w:tplc="2A986A34">
      <w:start w:val="1"/>
      <w:numFmt w:val="bullet"/>
      <w:lvlText w:val="•"/>
      <w:lvlJc w:val="left"/>
      <w:pPr>
        <w:tabs>
          <w:tab w:val="num" w:pos="720"/>
        </w:tabs>
        <w:ind w:left="720" w:hanging="360"/>
      </w:pPr>
      <w:rPr>
        <w:rFonts w:ascii="Arial" w:hAnsi="Arial" w:cs="Times New Roman" w:hint="default"/>
      </w:rPr>
    </w:lvl>
    <w:lvl w:ilvl="1" w:tplc="AF362436">
      <w:start w:val="1"/>
      <w:numFmt w:val="bullet"/>
      <w:lvlText w:val="•"/>
      <w:lvlJc w:val="left"/>
      <w:pPr>
        <w:tabs>
          <w:tab w:val="num" w:pos="1440"/>
        </w:tabs>
        <w:ind w:left="1440" w:hanging="360"/>
      </w:pPr>
      <w:rPr>
        <w:rFonts w:ascii="Arial" w:hAnsi="Arial" w:cs="Times New Roman" w:hint="default"/>
      </w:rPr>
    </w:lvl>
    <w:lvl w:ilvl="2" w:tplc="A1DAC1C2">
      <w:start w:val="1"/>
      <w:numFmt w:val="bullet"/>
      <w:lvlText w:val="•"/>
      <w:lvlJc w:val="left"/>
      <w:pPr>
        <w:tabs>
          <w:tab w:val="num" w:pos="2160"/>
        </w:tabs>
        <w:ind w:left="2160" w:hanging="360"/>
      </w:pPr>
      <w:rPr>
        <w:rFonts w:ascii="Arial" w:hAnsi="Arial" w:cs="Times New Roman" w:hint="default"/>
      </w:rPr>
    </w:lvl>
    <w:lvl w:ilvl="3" w:tplc="C9AC71F4">
      <w:start w:val="1"/>
      <w:numFmt w:val="bullet"/>
      <w:lvlText w:val="•"/>
      <w:lvlJc w:val="left"/>
      <w:pPr>
        <w:tabs>
          <w:tab w:val="num" w:pos="2880"/>
        </w:tabs>
        <w:ind w:left="2880" w:hanging="360"/>
      </w:pPr>
      <w:rPr>
        <w:rFonts w:ascii="Arial" w:hAnsi="Arial" w:cs="Times New Roman" w:hint="default"/>
      </w:rPr>
    </w:lvl>
    <w:lvl w:ilvl="4" w:tplc="21144FB6">
      <w:start w:val="1"/>
      <w:numFmt w:val="bullet"/>
      <w:lvlText w:val="•"/>
      <w:lvlJc w:val="left"/>
      <w:pPr>
        <w:tabs>
          <w:tab w:val="num" w:pos="3600"/>
        </w:tabs>
        <w:ind w:left="3600" w:hanging="360"/>
      </w:pPr>
      <w:rPr>
        <w:rFonts w:ascii="Arial" w:hAnsi="Arial" w:cs="Times New Roman" w:hint="default"/>
      </w:rPr>
    </w:lvl>
    <w:lvl w:ilvl="5" w:tplc="51BE7BD8">
      <w:start w:val="1"/>
      <w:numFmt w:val="bullet"/>
      <w:lvlText w:val="•"/>
      <w:lvlJc w:val="left"/>
      <w:pPr>
        <w:tabs>
          <w:tab w:val="num" w:pos="4320"/>
        </w:tabs>
        <w:ind w:left="4320" w:hanging="360"/>
      </w:pPr>
      <w:rPr>
        <w:rFonts w:ascii="Arial" w:hAnsi="Arial" w:cs="Times New Roman" w:hint="default"/>
      </w:rPr>
    </w:lvl>
    <w:lvl w:ilvl="6" w:tplc="9CA845EC">
      <w:start w:val="1"/>
      <w:numFmt w:val="bullet"/>
      <w:lvlText w:val="•"/>
      <w:lvlJc w:val="left"/>
      <w:pPr>
        <w:tabs>
          <w:tab w:val="num" w:pos="5040"/>
        </w:tabs>
        <w:ind w:left="5040" w:hanging="360"/>
      </w:pPr>
      <w:rPr>
        <w:rFonts w:ascii="Arial" w:hAnsi="Arial" w:cs="Times New Roman" w:hint="default"/>
      </w:rPr>
    </w:lvl>
    <w:lvl w:ilvl="7" w:tplc="C9B6D7C2">
      <w:start w:val="1"/>
      <w:numFmt w:val="bullet"/>
      <w:lvlText w:val="•"/>
      <w:lvlJc w:val="left"/>
      <w:pPr>
        <w:tabs>
          <w:tab w:val="num" w:pos="5760"/>
        </w:tabs>
        <w:ind w:left="5760" w:hanging="360"/>
      </w:pPr>
      <w:rPr>
        <w:rFonts w:ascii="Arial" w:hAnsi="Arial" w:cs="Times New Roman" w:hint="default"/>
      </w:rPr>
    </w:lvl>
    <w:lvl w:ilvl="8" w:tplc="CA9E8DFA">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97B485E"/>
    <w:multiLevelType w:val="hybridMultilevel"/>
    <w:tmpl w:val="04C07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4FE4A8C"/>
    <w:multiLevelType w:val="hybridMultilevel"/>
    <w:tmpl w:val="C8169098"/>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 w15:restartNumberingAfterBreak="0">
    <w:nsid w:val="658D2757"/>
    <w:multiLevelType w:val="hybridMultilevel"/>
    <w:tmpl w:val="FDEA9A28"/>
    <w:lvl w:ilvl="0" w:tplc="1160E7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F6"/>
    <w:rsid w:val="003916C4"/>
    <w:rsid w:val="004A30AF"/>
    <w:rsid w:val="0055099A"/>
    <w:rsid w:val="005C4BBC"/>
    <w:rsid w:val="00624F11"/>
    <w:rsid w:val="006E726C"/>
    <w:rsid w:val="007A3C9D"/>
    <w:rsid w:val="007C10EF"/>
    <w:rsid w:val="00A828AC"/>
    <w:rsid w:val="00C06012"/>
    <w:rsid w:val="00EA5186"/>
    <w:rsid w:val="00F073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1BE2"/>
  <w15:chartTrackingRefBased/>
  <w15:docId w15:val="{F362411D-F215-4B2E-A523-5812D3B0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8AC"/>
    <w:pPr>
      <w:spacing w:after="384" w:line="244" w:lineRule="auto"/>
      <w:ind w:left="130" w:right="1" w:hanging="10"/>
      <w:jc w:val="both"/>
    </w:pPr>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28AC"/>
    <w:rPr>
      <w:color w:val="0000FF"/>
      <w:u w:val="single"/>
    </w:rPr>
  </w:style>
  <w:style w:type="paragraph" w:styleId="DipnotMetni">
    <w:name w:val="footnote text"/>
    <w:basedOn w:val="Normal"/>
    <w:link w:val="DipnotMetniChar"/>
    <w:uiPriority w:val="99"/>
    <w:semiHidden/>
    <w:unhideWhenUsed/>
    <w:rsid w:val="00A828A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828AC"/>
    <w:rPr>
      <w:rFonts w:ascii="Calibri" w:eastAsia="Calibri" w:hAnsi="Calibri" w:cs="Calibri"/>
      <w:color w:val="000000"/>
      <w:sz w:val="20"/>
      <w:szCs w:val="20"/>
      <w:lang w:eastAsia="tr-TR"/>
    </w:rPr>
  </w:style>
  <w:style w:type="paragraph" w:styleId="ListeParagraf">
    <w:name w:val="List Paragraph"/>
    <w:basedOn w:val="Normal"/>
    <w:uiPriority w:val="34"/>
    <w:qFormat/>
    <w:rsid w:val="00A828AC"/>
    <w:pPr>
      <w:spacing w:after="200" w:line="276" w:lineRule="auto"/>
      <w:ind w:left="720" w:right="0" w:firstLine="0"/>
      <w:contextualSpacing/>
      <w:jc w:val="left"/>
    </w:pPr>
    <w:rPr>
      <w:rFonts w:asciiTheme="minorHAnsi" w:eastAsiaTheme="minorHAnsi" w:hAnsiTheme="minorHAnsi" w:cstheme="minorBidi"/>
      <w:color w:val="auto"/>
      <w:lang w:eastAsia="en-US"/>
    </w:rPr>
  </w:style>
  <w:style w:type="character" w:styleId="DipnotBavurusu">
    <w:name w:val="footnote reference"/>
    <w:basedOn w:val="VarsaylanParagrafYazTipi"/>
    <w:uiPriority w:val="99"/>
    <w:semiHidden/>
    <w:unhideWhenUsed/>
    <w:rsid w:val="00A82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9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541</Words>
  <Characters>3086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SALDIRIM 35478</dc:creator>
  <cp:keywords/>
  <dc:description/>
  <cp:lastModifiedBy>Mustafa SALDIRIM 35478</cp:lastModifiedBy>
  <cp:revision>4</cp:revision>
  <dcterms:created xsi:type="dcterms:W3CDTF">2017-09-06T19:18:00Z</dcterms:created>
  <dcterms:modified xsi:type="dcterms:W3CDTF">2017-09-07T07:35:00Z</dcterms:modified>
</cp:coreProperties>
</file>